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956BE">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left="0" w:leftChars="0" w:right="0" w:rightChars="0"/>
        <w:textAlignment w:val="auto"/>
        <w:outlineLvl w:val="9"/>
        <w:rPr>
          <w:rStyle w:val="15"/>
          <w:rFonts w:hint="eastAsia" w:ascii="国标黑体-GB/T 2312" w:hAnsi="国标黑体-GB/T 2312" w:eastAsia="国标黑体-GB/T 2312" w:cs="国标黑体-GB/T 2312"/>
          <w:b w:val="0"/>
          <w:bCs/>
          <w:color w:val="auto"/>
          <w:spacing w:val="0"/>
          <w:sz w:val="32"/>
          <w:szCs w:val="32"/>
          <w:u w:val="none"/>
          <w:shd w:val="clear" w:color="auto" w:fill="FFFFFF"/>
        </w:rPr>
      </w:pPr>
      <w:r>
        <w:rPr>
          <w:rStyle w:val="15"/>
          <w:rFonts w:hint="eastAsia" w:ascii="国标黑体-GB/T 2312" w:hAnsi="国标黑体-GB/T 2312" w:eastAsia="国标黑体-GB/T 2312" w:cs="国标黑体-GB/T 2312"/>
          <w:b w:val="0"/>
          <w:bCs/>
          <w:color w:val="auto"/>
          <w:spacing w:val="0"/>
          <w:sz w:val="32"/>
          <w:szCs w:val="32"/>
          <w:u w:val="none"/>
          <w:shd w:val="clear" w:color="auto" w:fill="FFFFFF"/>
        </w:rPr>
        <w:t>附件</w:t>
      </w:r>
      <w:r>
        <w:rPr>
          <w:rStyle w:val="15"/>
          <w:rFonts w:hint="eastAsia" w:ascii="国标黑体-GB/T 2312" w:hAnsi="国标黑体-GB/T 2312" w:eastAsia="国标黑体-GB/T 2312" w:cs="国标黑体-GB/T 2312"/>
          <w:b w:val="0"/>
          <w:bCs/>
          <w:color w:val="auto"/>
          <w:spacing w:val="0"/>
          <w:sz w:val="32"/>
          <w:szCs w:val="32"/>
          <w:u w:val="none"/>
          <w:shd w:val="clear" w:color="auto" w:fill="FFFFFF"/>
          <w:lang w:val="en-US" w:eastAsia="zh-CN"/>
        </w:rPr>
        <w:t>1：</w:t>
      </w:r>
    </w:p>
    <w:p w14:paraId="360D6378">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0" w:firstLineChars="0"/>
        <w:jc w:val="center"/>
        <w:textAlignment w:val="center"/>
        <w:rPr>
          <w:rFonts w:hint="eastAsia" w:ascii="方正小标宋简体" w:hAnsi="方正小标宋简体" w:eastAsia="方正小标宋简体" w:cs="方正小标宋简体"/>
          <w:i w:val="0"/>
          <w:color w:val="auto"/>
          <w:spacing w:val="0"/>
          <w:kern w:val="0"/>
          <w:sz w:val="32"/>
          <w:szCs w:val="32"/>
          <w:highlight w:val="none"/>
          <w:u w:val="none"/>
          <w:lang w:val="en-US" w:eastAsia="zh-CN" w:bidi="ar"/>
        </w:rPr>
      </w:pPr>
      <w:r>
        <w:rPr>
          <w:rFonts w:hint="eastAsia" w:ascii="国标小标宋-GB/T 2312" w:hAnsi="国标小标宋-GB/T 2312" w:eastAsia="国标小标宋-GB/T 2312" w:cs="国标小标宋-GB/T 2312"/>
          <w:i w:val="0"/>
          <w:color w:val="auto"/>
          <w:spacing w:val="0"/>
          <w:kern w:val="0"/>
          <w:sz w:val="44"/>
          <w:szCs w:val="44"/>
          <w:highlight w:val="none"/>
          <w:u w:val="none"/>
          <w:lang w:val="en-US" w:eastAsia="zh-CN" w:bidi="ar"/>
        </w:rPr>
        <w:t>西藏自治区退役军人事务系统行政裁量权基准</w:t>
      </w:r>
    </w:p>
    <w:p w14:paraId="3E13CA73">
      <w:pPr>
        <w:keepNext w:val="0"/>
        <w:keepLines w:val="0"/>
        <w:widowControl/>
        <w:numPr>
          <w:ilvl w:val="0"/>
          <w:numId w:val="0"/>
        </w:numPr>
        <w:suppressLineNumbers w:val="0"/>
        <w:ind w:firstLine="640" w:firstLineChars="200"/>
        <w:jc w:val="left"/>
        <w:textAlignment w:val="center"/>
        <w:rPr>
          <w:rFonts w:hint="eastAsia" w:ascii="国标黑体-GB/T 2312" w:hAnsi="国标黑体-GB/T 2312" w:eastAsia="国标黑体-GB/T 2312" w:cs="国标黑体-GB/T 2312"/>
          <w:i w:val="0"/>
          <w:color w:val="auto"/>
          <w:spacing w:val="0"/>
          <w:kern w:val="0"/>
          <w:sz w:val="32"/>
          <w:szCs w:val="32"/>
          <w:highlight w:val="none"/>
          <w:u w:val="none"/>
          <w:lang w:val="en-US" w:eastAsia="zh-CN" w:bidi="ar"/>
        </w:rPr>
      </w:pPr>
      <w:r>
        <w:rPr>
          <w:rFonts w:hint="eastAsia" w:ascii="国标黑体-GB/T 2312" w:hAnsi="国标黑体-GB/T 2312" w:eastAsia="国标黑体-GB/T 2312" w:cs="国标黑体-GB/T 2312"/>
          <w:i w:val="0"/>
          <w:color w:val="auto"/>
          <w:spacing w:val="0"/>
          <w:kern w:val="0"/>
          <w:sz w:val="32"/>
          <w:szCs w:val="32"/>
          <w:highlight w:val="none"/>
          <w:u w:val="none"/>
          <w:lang w:val="en-US" w:eastAsia="zh-CN" w:bidi="ar"/>
        </w:rPr>
        <w:t>一、行政处罚裁量基准</w:t>
      </w:r>
    </w:p>
    <w:tbl>
      <w:tblPr>
        <w:tblStyle w:val="12"/>
        <w:tblW w:w="13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2"/>
        <w:gridCol w:w="1035"/>
        <w:gridCol w:w="3492"/>
        <w:gridCol w:w="1109"/>
        <w:gridCol w:w="1137"/>
        <w:gridCol w:w="4143"/>
        <w:gridCol w:w="1124"/>
        <w:gridCol w:w="908"/>
      </w:tblGrid>
      <w:tr w14:paraId="6B8A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jc w:val="center"/>
        </w:trPr>
        <w:tc>
          <w:tcPr>
            <w:tcW w:w="712" w:type="dxa"/>
            <w:tcBorders>
              <w:top w:val="single" w:color="000000" w:sz="4" w:space="0"/>
              <w:left w:val="single" w:color="000000" w:sz="4" w:space="0"/>
              <w:bottom w:val="single" w:color="000000" w:sz="4" w:space="0"/>
              <w:right w:val="single" w:color="000000" w:sz="4" w:space="0"/>
            </w:tcBorders>
            <w:vAlign w:val="center"/>
          </w:tcPr>
          <w:p w14:paraId="382A57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国标楷体-GB/T 2312" w:hAnsi="国标楷体-GB/T 2312" w:eastAsia="国标楷体-GB/T 2312" w:cs="国标楷体-GB/T 2312"/>
                <w:b w:val="0"/>
                <w:bCs w:val="0"/>
                <w:i w:val="0"/>
                <w:color w:val="auto"/>
                <w:spacing w:val="0"/>
                <w:sz w:val="22"/>
                <w:szCs w:val="22"/>
                <w:highlight w:val="none"/>
                <w:u w:val="none"/>
              </w:rPr>
            </w:pPr>
            <w:r>
              <w:rPr>
                <w:rFonts w:hint="eastAsia" w:ascii="国标楷体-GB/T 2312" w:hAnsi="国标楷体-GB/T 2312" w:eastAsia="国标楷体-GB/T 2312" w:cs="国标楷体-GB/T 2312"/>
                <w:b w:val="0"/>
                <w:bCs w:val="0"/>
                <w:i w:val="0"/>
                <w:color w:val="auto"/>
                <w:spacing w:val="0"/>
                <w:kern w:val="0"/>
                <w:sz w:val="22"/>
                <w:szCs w:val="22"/>
                <w:highlight w:val="none"/>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vAlign w:val="center"/>
          </w:tcPr>
          <w:p w14:paraId="271421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国标楷体-GB/T 2312" w:hAnsi="国标楷体-GB/T 2312" w:eastAsia="国标楷体-GB/T 2312" w:cs="国标楷体-GB/T 2312"/>
                <w:b w:val="0"/>
                <w:bCs w:val="0"/>
                <w:i w:val="0"/>
                <w:color w:val="auto"/>
                <w:spacing w:val="0"/>
                <w:kern w:val="0"/>
                <w:sz w:val="22"/>
                <w:szCs w:val="22"/>
                <w:highlight w:val="none"/>
                <w:u w:val="none"/>
                <w:lang w:val="en-US" w:eastAsia="zh-CN" w:bidi="ar"/>
              </w:rPr>
            </w:pPr>
            <w:r>
              <w:rPr>
                <w:rFonts w:hint="eastAsia" w:ascii="国标楷体-GB/T 2312" w:hAnsi="国标楷体-GB/T 2312" w:eastAsia="国标楷体-GB/T 2312" w:cs="国标楷体-GB/T 2312"/>
                <w:b w:val="0"/>
                <w:bCs w:val="0"/>
                <w:i w:val="0"/>
                <w:color w:val="auto"/>
                <w:spacing w:val="0"/>
                <w:kern w:val="0"/>
                <w:sz w:val="22"/>
                <w:szCs w:val="22"/>
                <w:highlight w:val="none"/>
                <w:u w:val="none"/>
                <w:lang w:val="en-US" w:eastAsia="zh-CN" w:bidi="ar"/>
              </w:rPr>
              <w:t>违法</w:t>
            </w:r>
          </w:p>
          <w:p w14:paraId="4276E3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国标楷体-GB/T 2312" w:hAnsi="国标楷体-GB/T 2312" w:eastAsia="国标楷体-GB/T 2312" w:cs="国标楷体-GB/T 2312"/>
                <w:b w:val="0"/>
                <w:bCs w:val="0"/>
                <w:i w:val="0"/>
                <w:color w:val="auto"/>
                <w:spacing w:val="0"/>
                <w:sz w:val="22"/>
                <w:szCs w:val="22"/>
                <w:highlight w:val="none"/>
                <w:u w:val="none"/>
              </w:rPr>
            </w:pPr>
            <w:r>
              <w:rPr>
                <w:rFonts w:hint="eastAsia" w:ascii="国标楷体-GB/T 2312" w:hAnsi="国标楷体-GB/T 2312" w:eastAsia="国标楷体-GB/T 2312" w:cs="国标楷体-GB/T 2312"/>
                <w:b w:val="0"/>
                <w:bCs w:val="0"/>
                <w:i w:val="0"/>
                <w:color w:val="auto"/>
                <w:spacing w:val="0"/>
                <w:kern w:val="0"/>
                <w:sz w:val="22"/>
                <w:szCs w:val="22"/>
                <w:highlight w:val="none"/>
                <w:u w:val="none"/>
                <w:lang w:val="en-US" w:eastAsia="zh-CN" w:bidi="ar"/>
              </w:rPr>
              <w:t>行为</w:t>
            </w:r>
          </w:p>
        </w:tc>
        <w:tc>
          <w:tcPr>
            <w:tcW w:w="3492" w:type="dxa"/>
            <w:tcBorders>
              <w:top w:val="single" w:color="000000" w:sz="4" w:space="0"/>
              <w:left w:val="single" w:color="000000" w:sz="4" w:space="0"/>
              <w:bottom w:val="single" w:color="000000" w:sz="4" w:space="0"/>
              <w:right w:val="single" w:color="000000" w:sz="4" w:space="0"/>
            </w:tcBorders>
            <w:vAlign w:val="center"/>
          </w:tcPr>
          <w:p w14:paraId="0030E7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国标楷体-GB/T 2312" w:hAnsi="国标楷体-GB/T 2312" w:eastAsia="国标楷体-GB/T 2312" w:cs="国标楷体-GB/T 2312"/>
                <w:b w:val="0"/>
                <w:bCs w:val="0"/>
                <w:i w:val="0"/>
                <w:color w:val="auto"/>
                <w:spacing w:val="0"/>
                <w:sz w:val="22"/>
                <w:szCs w:val="22"/>
                <w:highlight w:val="none"/>
                <w:u w:val="none"/>
              </w:rPr>
            </w:pPr>
            <w:r>
              <w:rPr>
                <w:rFonts w:hint="eastAsia" w:ascii="国标楷体-GB/T 2312" w:hAnsi="国标楷体-GB/T 2312" w:eastAsia="国标楷体-GB/T 2312" w:cs="国标楷体-GB/T 2312"/>
                <w:b w:val="0"/>
                <w:bCs w:val="0"/>
                <w:i w:val="0"/>
                <w:color w:val="auto"/>
                <w:spacing w:val="0"/>
                <w:kern w:val="0"/>
                <w:sz w:val="22"/>
                <w:szCs w:val="22"/>
                <w:highlight w:val="none"/>
                <w:u w:val="none"/>
                <w:lang w:val="en-US" w:eastAsia="zh-CN" w:bidi="ar"/>
              </w:rPr>
              <w:t>法定依据</w:t>
            </w:r>
          </w:p>
        </w:tc>
        <w:tc>
          <w:tcPr>
            <w:tcW w:w="1109" w:type="dxa"/>
            <w:tcBorders>
              <w:top w:val="single" w:color="000000" w:sz="4" w:space="0"/>
              <w:left w:val="single" w:color="000000" w:sz="4" w:space="0"/>
              <w:bottom w:val="single" w:color="000000" w:sz="4" w:space="0"/>
              <w:right w:val="single" w:color="000000" w:sz="4" w:space="0"/>
            </w:tcBorders>
            <w:vAlign w:val="center"/>
          </w:tcPr>
          <w:p w14:paraId="471D74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国标楷体-GB/T 2312" w:hAnsi="国标楷体-GB/T 2312" w:eastAsia="国标楷体-GB/T 2312" w:cs="国标楷体-GB/T 2312"/>
                <w:b w:val="0"/>
                <w:bCs w:val="0"/>
                <w:i w:val="0"/>
                <w:color w:val="auto"/>
                <w:spacing w:val="0"/>
                <w:sz w:val="22"/>
                <w:szCs w:val="22"/>
                <w:highlight w:val="none"/>
                <w:u w:val="none"/>
              </w:rPr>
            </w:pPr>
            <w:r>
              <w:rPr>
                <w:rFonts w:hint="eastAsia" w:ascii="国标楷体-GB/T 2312" w:hAnsi="国标楷体-GB/T 2312" w:eastAsia="国标楷体-GB/T 2312" w:cs="国标楷体-GB/T 2312"/>
                <w:b w:val="0"/>
                <w:bCs w:val="0"/>
                <w:i w:val="0"/>
                <w:color w:val="auto"/>
                <w:spacing w:val="0"/>
                <w:kern w:val="0"/>
                <w:sz w:val="22"/>
                <w:szCs w:val="22"/>
                <w:highlight w:val="none"/>
                <w:u w:val="none"/>
                <w:lang w:val="en-US" w:eastAsia="zh-CN" w:bidi="ar"/>
              </w:rPr>
              <w:t>裁量阶次</w:t>
            </w:r>
          </w:p>
        </w:tc>
        <w:tc>
          <w:tcPr>
            <w:tcW w:w="1137" w:type="dxa"/>
            <w:tcBorders>
              <w:top w:val="single" w:color="000000" w:sz="4" w:space="0"/>
              <w:left w:val="single" w:color="000000" w:sz="4" w:space="0"/>
              <w:bottom w:val="single" w:color="000000" w:sz="4" w:space="0"/>
              <w:right w:val="single" w:color="000000" w:sz="4" w:space="0"/>
            </w:tcBorders>
            <w:vAlign w:val="center"/>
          </w:tcPr>
          <w:p w14:paraId="224F72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国标楷体-GB/T 2312" w:hAnsi="国标楷体-GB/T 2312" w:eastAsia="国标楷体-GB/T 2312" w:cs="国标楷体-GB/T 2312"/>
                <w:b w:val="0"/>
                <w:bCs w:val="0"/>
                <w:i w:val="0"/>
                <w:color w:val="auto"/>
                <w:spacing w:val="0"/>
                <w:kern w:val="0"/>
                <w:sz w:val="22"/>
                <w:szCs w:val="22"/>
                <w:highlight w:val="none"/>
                <w:u w:val="none"/>
                <w:lang w:val="en-US" w:eastAsia="zh-CN" w:bidi="ar"/>
              </w:rPr>
            </w:pPr>
            <w:r>
              <w:rPr>
                <w:rFonts w:hint="eastAsia" w:ascii="国标楷体-GB/T 2312" w:hAnsi="国标楷体-GB/T 2312" w:eastAsia="国标楷体-GB/T 2312" w:cs="国标楷体-GB/T 2312"/>
                <w:b w:val="0"/>
                <w:bCs w:val="0"/>
                <w:i w:val="0"/>
                <w:color w:val="auto"/>
                <w:spacing w:val="0"/>
                <w:kern w:val="0"/>
                <w:sz w:val="22"/>
                <w:szCs w:val="22"/>
                <w:highlight w:val="none"/>
                <w:u w:val="none"/>
                <w:lang w:val="en-US" w:eastAsia="zh-CN" w:bidi="ar"/>
              </w:rPr>
              <w:t>处罚种类</w:t>
            </w:r>
          </w:p>
        </w:tc>
        <w:tc>
          <w:tcPr>
            <w:tcW w:w="4143" w:type="dxa"/>
            <w:tcBorders>
              <w:top w:val="single" w:color="000000" w:sz="4" w:space="0"/>
              <w:left w:val="single" w:color="000000" w:sz="4" w:space="0"/>
              <w:bottom w:val="single" w:color="000000" w:sz="4" w:space="0"/>
              <w:right w:val="single" w:color="000000" w:sz="4" w:space="0"/>
            </w:tcBorders>
            <w:vAlign w:val="center"/>
          </w:tcPr>
          <w:p w14:paraId="1BB17D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国标楷体-GB/T 2312" w:hAnsi="国标楷体-GB/T 2312" w:eastAsia="国标楷体-GB/T 2312" w:cs="国标楷体-GB/T 2312"/>
                <w:b w:val="0"/>
                <w:bCs w:val="0"/>
                <w:i w:val="0"/>
                <w:color w:val="auto"/>
                <w:spacing w:val="0"/>
                <w:sz w:val="22"/>
                <w:szCs w:val="22"/>
                <w:highlight w:val="none"/>
                <w:u w:val="none"/>
              </w:rPr>
            </w:pPr>
            <w:r>
              <w:rPr>
                <w:rFonts w:hint="eastAsia" w:ascii="国标楷体-GB/T 2312" w:hAnsi="国标楷体-GB/T 2312" w:eastAsia="国标楷体-GB/T 2312" w:cs="国标楷体-GB/T 2312"/>
                <w:b w:val="0"/>
                <w:bCs w:val="0"/>
                <w:i w:val="0"/>
                <w:color w:val="auto"/>
                <w:spacing w:val="0"/>
                <w:kern w:val="0"/>
                <w:sz w:val="22"/>
                <w:szCs w:val="22"/>
                <w:highlight w:val="none"/>
                <w:u w:val="none"/>
                <w:lang w:val="en-US" w:eastAsia="zh-CN" w:bidi="ar"/>
              </w:rPr>
              <w:t>适用条件</w:t>
            </w:r>
          </w:p>
        </w:tc>
        <w:tc>
          <w:tcPr>
            <w:tcW w:w="1124" w:type="dxa"/>
            <w:tcBorders>
              <w:top w:val="single" w:color="auto" w:sz="4" w:space="0"/>
              <w:left w:val="single" w:color="000000" w:sz="4" w:space="0"/>
              <w:bottom w:val="single" w:color="auto" w:sz="4" w:space="0"/>
              <w:right w:val="single" w:color="000000" w:sz="4" w:space="0"/>
            </w:tcBorders>
            <w:vAlign w:val="center"/>
          </w:tcPr>
          <w:p w14:paraId="5D73BA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国标楷体-GB/T 2312" w:hAnsi="国标楷体-GB/T 2312" w:eastAsia="国标楷体-GB/T 2312" w:cs="国标楷体-GB/T 2312"/>
                <w:b w:val="0"/>
                <w:bCs w:val="0"/>
                <w:i w:val="0"/>
                <w:color w:val="auto"/>
                <w:spacing w:val="0"/>
                <w:sz w:val="22"/>
                <w:szCs w:val="22"/>
                <w:highlight w:val="none"/>
                <w:u w:val="none"/>
              </w:rPr>
            </w:pPr>
            <w:r>
              <w:rPr>
                <w:rFonts w:hint="eastAsia" w:ascii="国标楷体-GB/T 2312" w:hAnsi="国标楷体-GB/T 2312" w:eastAsia="国标楷体-GB/T 2312" w:cs="国标楷体-GB/T 2312"/>
                <w:b w:val="0"/>
                <w:bCs w:val="0"/>
                <w:i w:val="0"/>
                <w:color w:val="auto"/>
                <w:spacing w:val="0"/>
                <w:kern w:val="0"/>
                <w:sz w:val="22"/>
                <w:szCs w:val="22"/>
                <w:highlight w:val="none"/>
                <w:u w:val="none"/>
                <w:lang w:val="en-US" w:eastAsia="zh-CN" w:bidi="ar"/>
              </w:rPr>
              <w:t>具体标准</w:t>
            </w:r>
          </w:p>
        </w:tc>
        <w:tc>
          <w:tcPr>
            <w:tcW w:w="908" w:type="dxa"/>
            <w:tcBorders>
              <w:top w:val="single" w:color="auto" w:sz="4" w:space="0"/>
              <w:left w:val="single" w:color="000000" w:sz="4" w:space="0"/>
              <w:bottom w:val="single" w:color="auto" w:sz="4" w:space="0"/>
              <w:right w:val="single" w:color="000000" w:sz="4" w:space="0"/>
            </w:tcBorders>
            <w:vAlign w:val="center"/>
          </w:tcPr>
          <w:p w14:paraId="773895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国标楷体-GB/T 2312" w:hAnsi="国标楷体-GB/T 2312" w:eastAsia="国标楷体-GB/T 2312" w:cs="国标楷体-GB/T 2312"/>
                <w:b w:val="0"/>
                <w:bCs w:val="0"/>
                <w:i w:val="0"/>
                <w:color w:val="auto"/>
                <w:spacing w:val="0"/>
                <w:kern w:val="0"/>
                <w:sz w:val="22"/>
                <w:szCs w:val="22"/>
                <w:highlight w:val="none"/>
                <w:u w:val="none"/>
                <w:lang w:val="en-US" w:eastAsia="zh-CN" w:bidi="ar"/>
              </w:rPr>
            </w:pPr>
            <w:r>
              <w:rPr>
                <w:rFonts w:hint="eastAsia" w:ascii="国标楷体-GB/T 2312" w:hAnsi="国标楷体-GB/T 2312" w:eastAsia="国标楷体-GB/T 2312" w:cs="国标楷体-GB/T 2312"/>
                <w:b w:val="0"/>
                <w:bCs w:val="0"/>
                <w:i w:val="0"/>
                <w:color w:val="auto"/>
                <w:spacing w:val="0"/>
                <w:kern w:val="0"/>
                <w:sz w:val="22"/>
                <w:szCs w:val="22"/>
                <w:highlight w:val="none"/>
                <w:u w:val="none"/>
                <w:lang w:val="en-US" w:eastAsia="zh-CN" w:bidi="ar"/>
              </w:rPr>
              <w:t>限期改正期限</w:t>
            </w:r>
          </w:p>
        </w:tc>
      </w:tr>
      <w:tr w14:paraId="61B97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712" w:type="dxa"/>
            <w:vMerge w:val="restart"/>
            <w:tcBorders>
              <w:top w:val="single" w:color="000000" w:sz="4" w:space="0"/>
              <w:left w:val="single" w:color="000000" w:sz="4" w:space="0"/>
              <w:right w:val="single" w:color="000000" w:sz="4" w:space="0"/>
            </w:tcBorders>
            <w:vAlign w:val="center"/>
          </w:tcPr>
          <w:p w14:paraId="2D591D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sz w:val="20"/>
                <w:szCs w:val="20"/>
                <w:highlight w:val="none"/>
                <w:u w:val="none"/>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1</w:t>
            </w:r>
          </w:p>
        </w:tc>
        <w:tc>
          <w:tcPr>
            <w:tcW w:w="1035" w:type="dxa"/>
            <w:vMerge w:val="restart"/>
            <w:tcBorders>
              <w:top w:val="single" w:color="000000" w:sz="4" w:space="0"/>
              <w:left w:val="single" w:color="000000" w:sz="4" w:space="0"/>
              <w:right w:val="single" w:color="000000" w:sz="4" w:space="0"/>
            </w:tcBorders>
            <w:vAlign w:val="center"/>
          </w:tcPr>
          <w:p w14:paraId="1BB707AE">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sz w:val="20"/>
                <w:szCs w:val="20"/>
                <w:highlight w:val="none"/>
                <w:u w:val="none"/>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接收安置退役军人的单位拒绝或者无故拖延执行退役军人安置计划</w:t>
            </w:r>
          </w:p>
        </w:tc>
        <w:tc>
          <w:tcPr>
            <w:tcW w:w="3492" w:type="dxa"/>
            <w:vMerge w:val="restart"/>
            <w:tcBorders>
              <w:top w:val="single" w:color="000000" w:sz="4" w:space="0"/>
              <w:left w:val="single" w:color="000000" w:sz="4" w:space="0"/>
              <w:right w:val="single" w:color="000000" w:sz="4" w:space="0"/>
            </w:tcBorders>
            <w:vAlign w:val="center"/>
          </w:tcPr>
          <w:p w14:paraId="650C546F">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《退役军人保障法》第七十七条 违反本法规定，拒绝或者无故拖延执行退役军人安置任务的，由安置地人民政府退役军人工作主管部门责令限期改正；逾期不改正的，予以通报批评。对该单位主要负责人和直接责任人员，由有关部门依法给予处分。</w:t>
            </w:r>
          </w:p>
          <w:p w14:paraId="1DC99078">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《退役军人安置条例》第八十八条</w:t>
            </w:r>
            <w:r>
              <w:rPr>
                <w:rFonts w:hint="default" w:ascii="Times New Roman" w:hAnsi="Times New Roman" w:eastAsia="国标仿宋-GB/T 2312" w:cs="Times New Roman"/>
                <w:i w:val="0"/>
                <w:color w:val="auto"/>
                <w:spacing w:val="0"/>
                <w:kern w:val="0"/>
                <w:sz w:val="20"/>
                <w:szCs w:val="20"/>
                <w:highlight w:val="none"/>
                <w:u w:val="none"/>
                <w:lang w:val="en" w:eastAsia="zh-CN" w:bidi="ar"/>
              </w:rPr>
              <w:t xml:space="preserve"> </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接收安置退役军人的单位及其工作人员有下列行为之一的，由当地人民政府退役军人工作主管部门责令限期改正；逾期不改正的，予以通报批评，并对负有责任的领导人员和直接责任人员依法给予处分：</w:t>
            </w:r>
          </w:p>
          <w:p w14:paraId="7FF2A4C0">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default" w:ascii="Times New Roman" w:hAnsi="Times New Roman" w:eastAsia="国标仿宋-GB/T 2312" w:cs="Times New Roman"/>
                <w:i w:val="0"/>
                <w:color w:val="auto"/>
                <w:spacing w:val="0"/>
                <w:sz w:val="20"/>
                <w:szCs w:val="20"/>
                <w:highlight w:val="none"/>
                <w:u w:val="none"/>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（一）拒绝或者无故拖延执行退役军人安置计划的；</w:t>
            </w:r>
          </w:p>
        </w:tc>
        <w:tc>
          <w:tcPr>
            <w:tcW w:w="1109" w:type="dxa"/>
            <w:tcBorders>
              <w:top w:val="single" w:color="000000" w:sz="4" w:space="0"/>
              <w:left w:val="single" w:color="000000" w:sz="4" w:space="0"/>
              <w:bottom w:val="single" w:color="auto" w:sz="4" w:space="0"/>
              <w:right w:val="single" w:color="000000" w:sz="4" w:space="0"/>
            </w:tcBorders>
            <w:vAlign w:val="center"/>
          </w:tcPr>
          <w:p w14:paraId="72FF54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sz w:val="20"/>
                <w:szCs w:val="20"/>
                <w:highlight w:val="none"/>
                <w:u w:val="none"/>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不予处罚</w:t>
            </w:r>
          </w:p>
        </w:tc>
        <w:tc>
          <w:tcPr>
            <w:tcW w:w="1137" w:type="dxa"/>
            <w:vMerge w:val="restart"/>
            <w:tcBorders>
              <w:top w:val="single" w:color="000000" w:sz="4" w:space="0"/>
              <w:left w:val="single" w:color="000000" w:sz="4" w:space="0"/>
              <w:right w:val="single" w:color="000000" w:sz="4" w:space="0"/>
            </w:tcBorders>
            <w:vAlign w:val="center"/>
          </w:tcPr>
          <w:p w14:paraId="0B31B5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通报批评</w:t>
            </w:r>
          </w:p>
        </w:tc>
        <w:tc>
          <w:tcPr>
            <w:tcW w:w="4143" w:type="dxa"/>
            <w:tcBorders>
              <w:top w:val="single" w:color="000000" w:sz="4" w:space="0"/>
              <w:left w:val="single" w:color="000000" w:sz="4" w:space="0"/>
              <w:bottom w:val="single" w:color="auto" w:sz="4" w:space="0"/>
              <w:right w:val="single" w:color="000000" w:sz="4" w:space="0"/>
            </w:tcBorders>
            <w:vAlign w:val="center"/>
          </w:tcPr>
          <w:p w14:paraId="3AD63A8A">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sz w:val="20"/>
                <w:szCs w:val="20"/>
                <w:highlight w:val="none"/>
                <w:u w:val="none"/>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接收安置退役军人的单位拒绝或者无故拖延执行退役军人安置计划的，经责令限日改正，及时整改落实到位，没有造成危害后果的。</w:t>
            </w:r>
          </w:p>
        </w:tc>
        <w:tc>
          <w:tcPr>
            <w:tcW w:w="1124" w:type="dxa"/>
            <w:tcBorders>
              <w:top w:val="single" w:color="auto" w:sz="4" w:space="0"/>
              <w:left w:val="single" w:color="000000" w:sz="4" w:space="0"/>
              <w:bottom w:val="single" w:color="auto" w:sz="4" w:space="0"/>
              <w:right w:val="single" w:color="000000" w:sz="4" w:space="0"/>
            </w:tcBorders>
            <w:vAlign w:val="center"/>
          </w:tcPr>
          <w:p w14:paraId="6CD6BE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sz w:val="20"/>
                <w:szCs w:val="20"/>
                <w:highlight w:val="none"/>
                <w:u w:val="none"/>
                <w:lang w:eastAsia="zh-CN"/>
              </w:rPr>
            </w:pPr>
            <w:r>
              <w:rPr>
                <w:rFonts w:hint="default" w:ascii="Times New Roman" w:hAnsi="Times New Roman" w:eastAsia="国标仿宋-GB/T 2312" w:cs="Times New Roman"/>
                <w:i w:val="0"/>
                <w:color w:val="auto"/>
                <w:spacing w:val="0"/>
                <w:sz w:val="20"/>
                <w:szCs w:val="20"/>
                <w:highlight w:val="none"/>
                <w:u w:val="none"/>
                <w:lang w:eastAsia="zh-CN"/>
              </w:rPr>
              <w:t>不予处罚</w:t>
            </w:r>
          </w:p>
        </w:tc>
        <w:tc>
          <w:tcPr>
            <w:tcW w:w="908" w:type="dxa"/>
            <w:vMerge w:val="restart"/>
            <w:tcBorders>
              <w:top w:val="single" w:color="auto" w:sz="4" w:space="0"/>
              <w:left w:val="single" w:color="000000" w:sz="4" w:space="0"/>
              <w:right w:val="single" w:color="000000" w:sz="4" w:space="0"/>
            </w:tcBorders>
            <w:vAlign w:val="center"/>
          </w:tcPr>
          <w:p w14:paraId="659AE4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sz w:val="20"/>
                <w:szCs w:val="20"/>
                <w:highlight w:val="none"/>
                <w:u w:val="none"/>
                <w:lang w:val="en-US" w:eastAsia="zh-CN"/>
              </w:rPr>
            </w:pPr>
            <w:r>
              <w:rPr>
                <w:rFonts w:hint="default" w:ascii="Times New Roman" w:hAnsi="Times New Roman" w:eastAsia="国标仿宋-GB/T 2312" w:cs="Times New Roman"/>
                <w:i w:val="0"/>
                <w:color w:val="auto"/>
                <w:spacing w:val="0"/>
                <w:sz w:val="20"/>
                <w:szCs w:val="20"/>
                <w:highlight w:val="none"/>
                <w:u w:val="none"/>
                <w:lang w:val="en-US" w:eastAsia="zh-CN"/>
              </w:rPr>
              <w:t>30日内</w:t>
            </w:r>
          </w:p>
        </w:tc>
      </w:tr>
      <w:tr w14:paraId="496F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jc w:val="center"/>
        </w:trPr>
        <w:tc>
          <w:tcPr>
            <w:tcW w:w="712" w:type="dxa"/>
            <w:vMerge w:val="continue"/>
            <w:tcBorders>
              <w:left w:val="single" w:color="000000" w:sz="4" w:space="0"/>
              <w:right w:val="single" w:color="000000" w:sz="4" w:space="0"/>
            </w:tcBorders>
            <w:vAlign w:val="center"/>
          </w:tcPr>
          <w:p w14:paraId="6DCDF8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035" w:type="dxa"/>
            <w:vMerge w:val="continue"/>
            <w:tcBorders>
              <w:left w:val="single" w:color="000000" w:sz="4" w:space="0"/>
              <w:right w:val="single" w:color="000000" w:sz="4" w:space="0"/>
            </w:tcBorders>
            <w:vAlign w:val="center"/>
          </w:tcPr>
          <w:p w14:paraId="507D8FD3">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right w:val="single" w:color="000000" w:sz="4" w:space="0"/>
            </w:tcBorders>
            <w:vAlign w:val="center"/>
          </w:tcPr>
          <w:p w14:paraId="544F2000">
            <w:pPr>
              <w:pStyle w:val="3"/>
              <w:jc w:val="both"/>
              <w:rPr>
                <w:rFonts w:hint="default" w:ascii="Times New Roman" w:hAnsi="Times New Roman" w:eastAsia="国标仿宋-GB/T 2312" w:cs="Times New Roman"/>
                <w:color w:val="auto"/>
                <w:spacing w:val="0"/>
                <w:kern w:val="0"/>
                <w:sz w:val="20"/>
                <w:szCs w:val="20"/>
                <w:highlight w:val="none"/>
                <w:u w:val="none"/>
                <w:lang w:val="en-US" w:eastAsia="zh-CN" w:bidi="ar"/>
              </w:rPr>
            </w:pPr>
          </w:p>
        </w:tc>
        <w:tc>
          <w:tcPr>
            <w:tcW w:w="1109" w:type="dxa"/>
            <w:tcBorders>
              <w:top w:val="single" w:color="auto" w:sz="4" w:space="0"/>
              <w:left w:val="single" w:color="000000" w:sz="4" w:space="0"/>
              <w:bottom w:val="single" w:color="auto" w:sz="4" w:space="0"/>
              <w:right w:val="single" w:color="000000" w:sz="4" w:space="0"/>
            </w:tcBorders>
            <w:vAlign w:val="center"/>
          </w:tcPr>
          <w:p w14:paraId="7983D7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c>
          <w:tcPr>
            <w:tcW w:w="1137" w:type="dxa"/>
            <w:vMerge w:val="continue"/>
            <w:tcBorders>
              <w:left w:val="single" w:color="000000" w:sz="4" w:space="0"/>
              <w:right w:val="single" w:color="000000" w:sz="4" w:space="0"/>
            </w:tcBorders>
            <w:vAlign w:val="center"/>
          </w:tcPr>
          <w:p w14:paraId="6FBDC8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4143" w:type="dxa"/>
            <w:tcBorders>
              <w:top w:val="single" w:color="auto" w:sz="4" w:space="0"/>
              <w:left w:val="single" w:color="000000" w:sz="4" w:space="0"/>
              <w:bottom w:val="single" w:color="auto" w:sz="4" w:space="0"/>
              <w:right w:val="single" w:color="000000" w:sz="4" w:space="0"/>
            </w:tcBorders>
            <w:vAlign w:val="center"/>
          </w:tcPr>
          <w:p w14:paraId="79516F4A">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接收安置退役军人的单位拒绝或者无故拖延执行退役军人安置计划的，经责令限期改正，及时整改落实到位，造成的社会影响小，且危害后果轻微的。</w:t>
            </w:r>
          </w:p>
        </w:tc>
        <w:tc>
          <w:tcPr>
            <w:tcW w:w="1124" w:type="dxa"/>
            <w:tcBorders>
              <w:top w:val="single" w:color="auto" w:sz="4" w:space="0"/>
              <w:left w:val="single" w:color="000000" w:sz="4" w:space="0"/>
              <w:bottom w:val="single" w:color="auto" w:sz="4" w:space="0"/>
              <w:right w:val="single" w:color="000000" w:sz="4" w:space="0"/>
            </w:tcBorders>
            <w:vAlign w:val="center"/>
          </w:tcPr>
          <w:p w14:paraId="38F091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c>
          <w:tcPr>
            <w:tcW w:w="908" w:type="dxa"/>
            <w:vMerge w:val="continue"/>
            <w:tcBorders>
              <w:left w:val="single" w:color="000000" w:sz="4" w:space="0"/>
              <w:right w:val="single" w:color="000000" w:sz="4" w:space="0"/>
            </w:tcBorders>
            <w:vAlign w:val="center"/>
          </w:tcPr>
          <w:p w14:paraId="3099F1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r>
      <w:tr w14:paraId="07FA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jc w:val="center"/>
        </w:trPr>
        <w:tc>
          <w:tcPr>
            <w:tcW w:w="712" w:type="dxa"/>
            <w:vMerge w:val="continue"/>
            <w:tcBorders>
              <w:left w:val="single" w:color="000000" w:sz="4" w:space="0"/>
              <w:bottom w:val="single" w:color="auto" w:sz="4" w:space="0"/>
              <w:right w:val="single" w:color="000000" w:sz="4" w:space="0"/>
            </w:tcBorders>
            <w:vAlign w:val="center"/>
          </w:tcPr>
          <w:p w14:paraId="219872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035" w:type="dxa"/>
            <w:vMerge w:val="continue"/>
            <w:tcBorders>
              <w:left w:val="single" w:color="000000" w:sz="4" w:space="0"/>
              <w:bottom w:val="single" w:color="auto" w:sz="4" w:space="0"/>
              <w:right w:val="single" w:color="000000" w:sz="4" w:space="0"/>
            </w:tcBorders>
            <w:vAlign w:val="center"/>
          </w:tcPr>
          <w:p w14:paraId="35726677">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bottom w:val="single" w:color="auto" w:sz="4" w:space="0"/>
              <w:right w:val="single" w:color="000000" w:sz="4" w:space="0"/>
            </w:tcBorders>
            <w:vAlign w:val="center"/>
          </w:tcPr>
          <w:p w14:paraId="2B082296">
            <w:pPr>
              <w:pStyle w:val="3"/>
              <w:jc w:val="both"/>
              <w:rPr>
                <w:rFonts w:hint="default" w:ascii="Times New Roman" w:hAnsi="Times New Roman" w:eastAsia="国标仿宋-GB/T 2312" w:cs="Times New Roman"/>
                <w:color w:val="auto"/>
                <w:spacing w:val="0"/>
                <w:kern w:val="0"/>
                <w:sz w:val="20"/>
                <w:szCs w:val="20"/>
                <w:highlight w:val="none"/>
                <w:u w:val="none"/>
                <w:lang w:val="en-US" w:eastAsia="zh-CN" w:bidi="ar"/>
              </w:rPr>
            </w:pPr>
          </w:p>
        </w:tc>
        <w:tc>
          <w:tcPr>
            <w:tcW w:w="1109" w:type="dxa"/>
            <w:tcBorders>
              <w:top w:val="single" w:color="auto" w:sz="4" w:space="0"/>
              <w:left w:val="single" w:color="000000" w:sz="4" w:space="0"/>
              <w:bottom w:val="single" w:color="auto" w:sz="4" w:space="0"/>
              <w:right w:val="single" w:color="000000" w:sz="4" w:space="0"/>
            </w:tcBorders>
            <w:vAlign w:val="center"/>
          </w:tcPr>
          <w:p w14:paraId="141907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一般处罚</w:t>
            </w:r>
          </w:p>
        </w:tc>
        <w:tc>
          <w:tcPr>
            <w:tcW w:w="1137" w:type="dxa"/>
            <w:vMerge w:val="continue"/>
            <w:tcBorders>
              <w:left w:val="single" w:color="000000" w:sz="4" w:space="0"/>
              <w:bottom w:val="single" w:color="auto" w:sz="4" w:space="0"/>
              <w:right w:val="single" w:color="000000" w:sz="4" w:space="0"/>
            </w:tcBorders>
            <w:vAlign w:val="center"/>
          </w:tcPr>
          <w:p w14:paraId="697BCA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4143" w:type="dxa"/>
            <w:tcBorders>
              <w:top w:val="single" w:color="auto" w:sz="4" w:space="0"/>
              <w:left w:val="single" w:color="000000" w:sz="4" w:space="0"/>
              <w:bottom w:val="single" w:color="auto" w:sz="4" w:space="0"/>
              <w:right w:val="single" w:color="000000" w:sz="4" w:space="0"/>
            </w:tcBorders>
            <w:vAlign w:val="center"/>
          </w:tcPr>
          <w:p w14:paraId="4F973BF7">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接收安置退役军人的单位拒绝或者无故拖延执行退役军人安置计划的，经责令限期改正而逾期仍未改正，造成社会影响的。</w:t>
            </w:r>
          </w:p>
        </w:tc>
        <w:tc>
          <w:tcPr>
            <w:tcW w:w="1124" w:type="dxa"/>
            <w:tcBorders>
              <w:top w:val="single" w:color="auto" w:sz="4" w:space="0"/>
              <w:left w:val="single" w:color="000000" w:sz="4" w:space="0"/>
              <w:bottom w:val="single" w:color="auto" w:sz="4" w:space="0"/>
              <w:right w:val="single" w:color="000000" w:sz="4" w:space="0"/>
            </w:tcBorders>
            <w:vAlign w:val="center"/>
          </w:tcPr>
          <w:p w14:paraId="61EF8D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通报批评</w:t>
            </w:r>
          </w:p>
        </w:tc>
        <w:tc>
          <w:tcPr>
            <w:tcW w:w="908" w:type="dxa"/>
            <w:vMerge w:val="continue"/>
            <w:tcBorders>
              <w:left w:val="single" w:color="000000" w:sz="4" w:space="0"/>
              <w:bottom w:val="single" w:color="auto" w:sz="4" w:space="0"/>
              <w:right w:val="single" w:color="000000" w:sz="4" w:space="0"/>
            </w:tcBorders>
            <w:vAlign w:val="center"/>
          </w:tcPr>
          <w:p w14:paraId="40E632A6">
            <w:pPr>
              <w:keepNext w:val="0"/>
              <w:keepLines w:val="0"/>
              <w:pageBreakBefore w:val="0"/>
              <w:widowControl/>
              <w:suppressLineNumbers w:val="0"/>
              <w:kinsoku/>
              <w:wordWrap/>
              <w:overflowPunct/>
              <w:topLinePunct w:val="0"/>
              <w:autoSpaceDE/>
              <w:autoSpaceDN/>
              <w:bidi w:val="0"/>
              <w:adjustRightInd w:val="0"/>
              <w:snapToGrid w:val="0"/>
              <w:ind w:firstLine="200" w:firstLineChars="10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r>
      <w:tr w14:paraId="2C0B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712" w:type="dxa"/>
            <w:vMerge w:val="restart"/>
            <w:tcBorders>
              <w:top w:val="single" w:color="auto" w:sz="4" w:space="0"/>
              <w:left w:val="single" w:color="auto" w:sz="4" w:space="0"/>
              <w:right w:val="single" w:color="000000" w:sz="4" w:space="0"/>
            </w:tcBorders>
            <w:vAlign w:val="center"/>
          </w:tcPr>
          <w:p w14:paraId="7280DC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2</w:t>
            </w:r>
          </w:p>
        </w:tc>
        <w:tc>
          <w:tcPr>
            <w:tcW w:w="1035" w:type="dxa"/>
            <w:vMerge w:val="restart"/>
            <w:tcBorders>
              <w:top w:val="single" w:color="auto" w:sz="4" w:space="0"/>
              <w:left w:val="single" w:color="000000" w:sz="4" w:space="0"/>
              <w:right w:val="single" w:color="000000" w:sz="4" w:space="0"/>
            </w:tcBorders>
            <w:vAlign w:val="center"/>
          </w:tcPr>
          <w:p w14:paraId="76F1BB93">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接收安置退役军人的单位拒绝或者无故拖延执行退役军人安置计划</w:t>
            </w:r>
          </w:p>
        </w:tc>
        <w:tc>
          <w:tcPr>
            <w:tcW w:w="3492" w:type="dxa"/>
            <w:vMerge w:val="restart"/>
            <w:tcBorders>
              <w:top w:val="single" w:color="auto" w:sz="4" w:space="0"/>
              <w:left w:val="single" w:color="000000" w:sz="4" w:space="0"/>
              <w:right w:val="single" w:color="000000" w:sz="4" w:space="0"/>
            </w:tcBorders>
            <w:vAlign w:val="center"/>
          </w:tcPr>
          <w:p w14:paraId="07F5FEF8">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《退役军人安置条例》第八十八条</w:t>
            </w:r>
            <w:r>
              <w:rPr>
                <w:rFonts w:hint="default" w:ascii="Times New Roman" w:hAnsi="Times New Roman" w:eastAsia="国标仿宋-GB/T 2312" w:cs="Times New Roman"/>
                <w:i w:val="0"/>
                <w:color w:val="auto"/>
                <w:spacing w:val="0"/>
                <w:kern w:val="0"/>
                <w:sz w:val="20"/>
                <w:szCs w:val="20"/>
                <w:highlight w:val="none"/>
                <w:u w:val="none"/>
                <w:lang w:val="en" w:eastAsia="zh-CN" w:bidi="ar"/>
              </w:rPr>
              <w:t xml:space="preserve"> </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接收安置退役军人的单位及其工作人员有下列行为之一的，由当地人民政府退役军人工作主管部门责令限期改正；逾期不改正的，予以通报批评，并对负有责任的领导人员和直接责任人员依法给予处分：</w:t>
            </w:r>
          </w:p>
          <w:p w14:paraId="5121F810">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（二）在国家政策之外另设接收条件、提高安置门槛的；</w:t>
            </w:r>
          </w:p>
        </w:tc>
        <w:tc>
          <w:tcPr>
            <w:tcW w:w="1109" w:type="dxa"/>
            <w:tcBorders>
              <w:top w:val="single" w:color="auto" w:sz="4" w:space="0"/>
              <w:left w:val="single" w:color="000000" w:sz="4" w:space="0"/>
              <w:bottom w:val="single" w:color="auto" w:sz="4" w:space="0"/>
              <w:right w:val="single" w:color="000000" w:sz="4" w:space="0"/>
            </w:tcBorders>
            <w:vAlign w:val="center"/>
          </w:tcPr>
          <w:p w14:paraId="582A7B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免予处罚</w:t>
            </w:r>
          </w:p>
        </w:tc>
        <w:tc>
          <w:tcPr>
            <w:tcW w:w="1137" w:type="dxa"/>
            <w:vMerge w:val="restart"/>
            <w:tcBorders>
              <w:top w:val="single" w:color="auto" w:sz="4" w:space="0"/>
              <w:left w:val="single" w:color="000000" w:sz="4" w:space="0"/>
              <w:right w:val="single" w:color="000000" w:sz="4" w:space="0"/>
            </w:tcBorders>
            <w:vAlign w:val="center"/>
          </w:tcPr>
          <w:p w14:paraId="042DBC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通报批评</w:t>
            </w:r>
          </w:p>
        </w:tc>
        <w:tc>
          <w:tcPr>
            <w:tcW w:w="4143" w:type="dxa"/>
            <w:tcBorders>
              <w:top w:val="single" w:color="auto" w:sz="4" w:space="0"/>
              <w:left w:val="single" w:color="000000" w:sz="4" w:space="0"/>
              <w:bottom w:val="single" w:color="auto" w:sz="4" w:space="0"/>
              <w:right w:val="single" w:color="000000" w:sz="4" w:space="0"/>
            </w:tcBorders>
            <w:vAlign w:val="center"/>
          </w:tcPr>
          <w:p w14:paraId="5762B5AC">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接收安置退役军人的单位在国家政策之外另设接收条件、提高安置门槛的，经责令限期改正，及时整改落实到位，且社会影响轻微的。</w:t>
            </w:r>
          </w:p>
        </w:tc>
        <w:tc>
          <w:tcPr>
            <w:tcW w:w="1124" w:type="dxa"/>
            <w:tcBorders>
              <w:top w:val="single" w:color="auto" w:sz="4" w:space="0"/>
              <w:left w:val="single" w:color="000000" w:sz="4" w:space="0"/>
              <w:bottom w:val="single" w:color="auto" w:sz="4" w:space="0"/>
              <w:right w:val="single" w:color="auto" w:sz="4" w:space="0"/>
            </w:tcBorders>
            <w:vAlign w:val="center"/>
          </w:tcPr>
          <w:p w14:paraId="649920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sz w:val="20"/>
                <w:szCs w:val="20"/>
                <w:highlight w:val="none"/>
                <w:u w:val="none"/>
                <w:lang w:eastAsia="zh-CN"/>
              </w:rPr>
              <w:t>免予处罚</w:t>
            </w:r>
          </w:p>
        </w:tc>
        <w:tc>
          <w:tcPr>
            <w:tcW w:w="908" w:type="dxa"/>
            <w:vMerge w:val="restart"/>
            <w:tcBorders>
              <w:top w:val="single" w:color="auto" w:sz="4" w:space="0"/>
              <w:left w:val="single" w:color="000000" w:sz="4" w:space="0"/>
              <w:right w:val="single" w:color="auto" w:sz="4" w:space="0"/>
            </w:tcBorders>
            <w:vAlign w:val="center"/>
          </w:tcPr>
          <w:p w14:paraId="02AA55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sz w:val="20"/>
                <w:szCs w:val="20"/>
                <w:highlight w:val="none"/>
                <w:u w:val="none"/>
                <w:lang w:val="en-US" w:eastAsia="zh-CN"/>
              </w:rPr>
              <w:t>30日内</w:t>
            </w:r>
          </w:p>
        </w:tc>
      </w:tr>
      <w:tr w14:paraId="776D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712" w:type="dxa"/>
            <w:vMerge w:val="continue"/>
            <w:tcBorders>
              <w:left w:val="single" w:color="auto" w:sz="4" w:space="0"/>
              <w:bottom w:val="single" w:color="auto" w:sz="4" w:space="0"/>
              <w:right w:val="single" w:color="000000" w:sz="4" w:space="0"/>
            </w:tcBorders>
            <w:vAlign w:val="center"/>
          </w:tcPr>
          <w:p w14:paraId="4443B5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035" w:type="dxa"/>
            <w:vMerge w:val="continue"/>
            <w:tcBorders>
              <w:left w:val="single" w:color="000000" w:sz="4" w:space="0"/>
              <w:bottom w:val="single" w:color="auto" w:sz="4" w:space="0"/>
              <w:right w:val="single" w:color="000000" w:sz="4" w:space="0"/>
            </w:tcBorders>
            <w:vAlign w:val="center"/>
          </w:tcPr>
          <w:p w14:paraId="61F2AB8A">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bottom w:val="single" w:color="auto" w:sz="4" w:space="0"/>
              <w:right w:val="single" w:color="000000" w:sz="4" w:space="0"/>
            </w:tcBorders>
            <w:vAlign w:val="center"/>
          </w:tcPr>
          <w:p w14:paraId="646C30C8">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left="0" w:leftChars="0"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109" w:type="dxa"/>
            <w:tcBorders>
              <w:top w:val="single" w:color="auto" w:sz="4" w:space="0"/>
              <w:left w:val="single" w:color="000000" w:sz="4" w:space="0"/>
              <w:bottom w:val="single" w:color="auto" w:sz="4" w:space="0"/>
              <w:right w:val="single" w:color="000000" w:sz="4" w:space="0"/>
            </w:tcBorders>
            <w:vAlign w:val="center"/>
          </w:tcPr>
          <w:p w14:paraId="11737C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一般处罚</w:t>
            </w:r>
          </w:p>
        </w:tc>
        <w:tc>
          <w:tcPr>
            <w:tcW w:w="1137" w:type="dxa"/>
            <w:vMerge w:val="continue"/>
            <w:tcBorders>
              <w:left w:val="single" w:color="000000" w:sz="4" w:space="0"/>
              <w:bottom w:val="single" w:color="auto" w:sz="4" w:space="0"/>
              <w:right w:val="single" w:color="000000" w:sz="4" w:space="0"/>
            </w:tcBorders>
            <w:vAlign w:val="center"/>
          </w:tcPr>
          <w:p w14:paraId="48574C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4143" w:type="dxa"/>
            <w:tcBorders>
              <w:top w:val="single" w:color="auto" w:sz="4" w:space="0"/>
              <w:left w:val="single" w:color="000000" w:sz="4" w:space="0"/>
              <w:bottom w:val="single" w:color="auto" w:sz="4" w:space="0"/>
              <w:right w:val="single" w:color="000000" w:sz="4" w:space="0"/>
            </w:tcBorders>
            <w:vAlign w:val="center"/>
          </w:tcPr>
          <w:p w14:paraId="1B7121E3">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接收安置退役军人的单位在国家政策之外另设接收条件、提高安置门槛的，经责令限期改正而逾期仍未改正，造成社会影响的。</w:t>
            </w:r>
          </w:p>
        </w:tc>
        <w:tc>
          <w:tcPr>
            <w:tcW w:w="1124" w:type="dxa"/>
            <w:tcBorders>
              <w:top w:val="single" w:color="auto" w:sz="4" w:space="0"/>
              <w:left w:val="single" w:color="000000" w:sz="4" w:space="0"/>
              <w:bottom w:val="single" w:color="auto" w:sz="4" w:space="0"/>
              <w:right w:val="single" w:color="auto" w:sz="4" w:space="0"/>
            </w:tcBorders>
            <w:vAlign w:val="center"/>
          </w:tcPr>
          <w:p w14:paraId="0FA492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sz w:val="20"/>
                <w:szCs w:val="20"/>
                <w:highlight w:val="none"/>
                <w:u w:val="none"/>
                <w:lang w:eastAsia="zh-CN"/>
              </w:rPr>
            </w:pPr>
            <w:r>
              <w:rPr>
                <w:rFonts w:hint="default" w:ascii="Times New Roman" w:hAnsi="Times New Roman" w:eastAsia="国标仿宋-GB/T 2312" w:cs="Times New Roman"/>
                <w:i w:val="0"/>
                <w:color w:val="auto"/>
                <w:spacing w:val="0"/>
                <w:sz w:val="20"/>
                <w:szCs w:val="20"/>
                <w:highlight w:val="none"/>
                <w:u w:val="none"/>
                <w:lang w:eastAsia="zh-CN"/>
              </w:rPr>
              <w:t>通报批评</w:t>
            </w:r>
          </w:p>
        </w:tc>
        <w:tc>
          <w:tcPr>
            <w:tcW w:w="908" w:type="dxa"/>
            <w:vMerge w:val="continue"/>
            <w:tcBorders>
              <w:left w:val="single" w:color="000000" w:sz="4" w:space="0"/>
              <w:bottom w:val="single" w:color="auto" w:sz="4" w:space="0"/>
              <w:right w:val="single" w:color="auto" w:sz="4" w:space="0"/>
            </w:tcBorders>
            <w:vAlign w:val="center"/>
          </w:tcPr>
          <w:p w14:paraId="45C8DF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sz w:val="20"/>
                <w:szCs w:val="20"/>
                <w:highlight w:val="none"/>
                <w:u w:val="none"/>
                <w:lang w:val="en-US" w:eastAsia="zh-CN"/>
              </w:rPr>
            </w:pPr>
          </w:p>
        </w:tc>
      </w:tr>
      <w:tr w14:paraId="5B73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3" w:hRule="atLeast"/>
          <w:jc w:val="center"/>
        </w:trPr>
        <w:tc>
          <w:tcPr>
            <w:tcW w:w="712" w:type="dxa"/>
            <w:vMerge w:val="restart"/>
            <w:tcBorders>
              <w:top w:val="single" w:color="auto" w:sz="4" w:space="0"/>
              <w:left w:val="single" w:color="auto" w:sz="4" w:space="0"/>
              <w:right w:val="single" w:color="000000" w:sz="4" w:space="0"/>
            </w:tcBorders>
            <w:vAlign w:val="center"/>
          </w:tcPr>
          <w:p w14:paraId="351101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3</w:t>
            </w:r>
          </w:p>
        </w:tc>
        <w:tc>
          <w:tcPr>
            <w:tcW w:w="1035" w:type="dxa"/>
            <w:vMerge w:val="restart"/>
            <w:tcBorders>
              <w:top w:val="single" w:color="auto" w:sz="4" w:space="0"/>
              <w:left w:val="single" w:color="000000" w:sz="4" w:space="0"/>
              <w:right w:val="single" w:color="000000" w:sz="4" w:space="0"/>
            </w:tcBorders>
            <w:vAlign w:val="center"/>
          </w:tcPr>
          <w:p w14:paraId="081248C4">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接收安置单位将接收安置退役军人编制截留、挪用</w:t>
            </w:r>
          </w:p>
        </w:tc>
        <w:tc>
          <w:tcPr>
            <w:tcW w:w="3492" w:type="dxa"/>
            <w:vMerge w:val="restart"/>
            <w:tcBorders>
              <w:top w:val="single" w:color="auto" w:sz="4" w:space="0"/>
              <w:left w:val="single" w:color="000000" w:sz="4" w:space="0"/>
              <w:right w:val="single" w:color="000000" w:sz="4" w:space="0"/>
            </w:tcBorders>
            <w:vAlign w:val="center"/>
          </w:tcPr>
          <w:p w14:paraId="21F78424">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《退役军人安置条例》第八十八条</w:t>
            </w:r>
            <w:r>
              <w:rPr>
                <w:rFonts w:hint="default" w:ascii="Times New Roman" w:hAnsi="Times New Roman" w:eastAsia="国标仿宋-GB/T 2312" w:cs="Times New Roman"/>
                <w:i w:val="0"/>
                <w:color w:val="auto"/>
                <w:spacing w:val="0"/>
                <w:kern w:val="0"/>
                <w:sz w:val="20"/>
                <w:szCs w:val="20"/>
                <w:highlight w:val="none"/>
                <w:u w:val="none"/>
                <w:lang w:val="en" w:eastAsia="zh-CN" w:bidi="ar"/>
              </w:rPr>
              <w:t xml:space="preserve"> </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接收安置退役军人的单位及其工作人员有下列行为之一的，由当地人民政府退役军人工作主管部门责令限期改正；逾期不改正的，予以通报批评，并对负有责任的领导人员和直接责任人员依法给予处分：</w:t>
            </w:r>
          </w:p>
          <w:p w14:paraId="1173EEC5">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（三）将接收安置退役军人编制截留、挪用的；</w:t>
            </w:r>
          </w:p>
        </w:tc>
        <w:tc>
          <w:tcPr>
            <w:tcW w:w="1109" w:type="dxa"/>
            <w:tcBorders>
              <w:top w:val="single" w:color="auto" w:sz="4" w:space="0"/>
              <w:left w:val="single" w:color="000000" w:sz="4" w:space="0"/>
              <w:bottom w:val="single" w:color="auto" w:sz="4" w:space="0"/>
              <w:right w:val="single" w:color="000000" w:sz="4" w:space="0"/>
            </w:tcBorders>
            <w:vAlign w:val="center"/>
          </w:tcPr>
          <w:p w14:paraId="098DF8CF">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c>
          <w:tcPr>
            <w:tcW w:w="1137" w:type="dxa"/>
            <w:vMerge w:val="restart"/>
            <w:tcBorders>
              <w:top w:val="single" w:color="auto" w:sz="4" w:space="0"/>
              <w:left w:val="single" w:color="000000" w:sz="4" w:space="0"/>
              <w:right w:val="single" w:color="000000" w:sz="4" w:space="0"/>
            </w:tcBorders>
            <w:vAlign w:val="center"/>
          </w:tcPr>
          <w:p w14:paraId="184A14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通报批评</w:t>
            </w:r>
          </w:p>
        </w:tc>
        <w:tc>
          <w:tcPr>
            <w:tcW w:w="4143" w:type="dxa"/>
            <w:tcBorders>
              <w:top w:val="single" w:color="auto" w:sz="4" w:space="0"/>
              <w:left w:val="single" w:color="000000" w:sz="4" w:space="0"/>
              <w:bottom w:val="single" w:color="auto" w:sz="4" w:space="0"/>
              <w:right w:val="single" w:color="000000" w:sz="4" w:space="0"/>
            </w:tcBorders>
            <w:vAlign w:val="center"/>
          </w:tcPr>
          <w:p w14:paraId="6B17A7F5">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接收安置退役军人的单位将接收安置退役军人编制截留、挪用的，经责令限期改正，及时整改落实到位，且未造成社会影响的。</w:t>
            </w:r>
          </w:p>
        </w:tc>
        <w:tc>
          <w:tcPr>
            <w:tcW w:w="1124" w:type="dxa"/>
            <w:tcBorders>
              <w:top w:val="single" w:color="auto" w:sz="4" w:space="0"/>
              <w:left w:val="single" w:color="000000" w:sz="4" w:space="0"/>
              <w:bottom w:val="single" w:color="auto" w:sz="4" w:space="0"/>
              <w:right w:val="single" w:color="auto" w:sz="4" w:space="0"/>
            </w:tcBorders>
            <w:vAlign w:val="center"/>
          </w:tcPr>
          <w:p w14:paraId="3B63CE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c>
          <w:tcPr>
            <w:tcW w:w="908" w:type="dxa"/>
            <w:vMerge w:val="restart"/>
            <w:tcBorders>
              <w:top w:val="single" w:color="auto" w:sz="4" w:space="0"/>
              <w:left w:val="single" w:color="000000" w:sz="4" w:space="0"/>
              <w:right w:val="single" w:color="auto" w:sz="4" w:space="0"/>
            </w:tcBorders>
            <w:vAlign w:val="center"/>
          </w:tcPr>
          <w:p w14:paraId="0F0AABF4">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30日内</w:t>
            </w:r>
          </w:p>
        </w:tc>
      </w:tr>
      <w:tr w14:paraId="46DB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12" w:type="dxa"/>
            <w:vMerge w:val="continue"/>
            <w:tcBorders>
              <w:left w:val="single" w:color="auto" w:sz="4" w:space="0"/>
              <w:bottom w:val="single" w:color="auto" w:sz="4" w:space="0"/>
              <w:right w:val="single" w:color="000000" w:sz="4" w:space="0"/>
            </w:tcBorders>
            <w:vAlign w:val="center"/>
          </w:tcPr>
          <w:p w14:paraId="43FEB8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035" w:type="dxa"/>
            <w:vMerge w:val="continue"/>
            <w:tcBorders>
              <w:left w:val="single" w:color="000000" w:sz="4" w:space="0"/>
              <w:bottom w:val="single" w:color="auto" w:sz="4" w:space="0"/>
              <w:right w:val="single" w:color="000000" w:sz="4" w:space="0"/>
            </w:tcBorders>
            <w:vAlign w:val="center"/>
          </w:tcPr>
          <w:p w14:paraId="435820AC">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bottom w:val="single" w:color="auto" w:sz="4" w:space="0"/>
              <w:right w:val="single" w:color="000000" w:sz="4" w:space="0"/>
            </w:tcBorders>
            <w:vAlign w:val="center"/>
          </w:tcPr>
          <w:p w14:paraId="5A748D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0" w:beforeAutospacing="0" w:after="20" w:afterAutospacing="0" w:line="400" w:lineRule="exact"/>
              <w:ind w:left="0" w:right="0" w:firstLine="420"/>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109" w:type="dxa"/>
            <w:tcBorders>
              <w:top w:val="single" w:color="auto" w:sz="4" w:space="0"/>
              <w:left w:val="single" w:color="000000" w:sz="4" w:space="0"/>
              <w:bottom w:val="single" w:color="auto" w:sz="4" w:space="0"/>
              <w:right w:val="single" w:color="000000" w:sz="4" w:space="0"/>
            </w:tcBorders>
            <w:vAlign w:val="center"/>
          </w:tcPr>
          <w:p w14:paraId="610EEC13">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一般处罚</w:t>
            </w:r>
          </w:p>
        </w:tc>
        <w:tc>
          <w:tcPr>
            <w:tcW w:w="1137" w:type="dxa"/>
            <w:vMerge w:val="continue"/>
            <w:tcBorders>
              <w:left w:val="single" w:color="000000" w:sz="4" w:space="0"/>
              <w:bottom w:val="single" w:color="auto" w:sz="4" w:space="0"/>
              <w:right w:val="single" w:color="000000" w:sz="4" w:space="0"/>
            </w:tcBorders>
            <w:vAlign w:val="center"/>
          </w:tcPr>
          <w:p w14:paraId="22AB16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4143" w:type="dxa"/>
            <w:tcBorders>
              <w:top w:val="single" w:color="auto" w:sz="4" w:space="0"/>
              <w:left w:val="single" w:color="000000" w:sz="4" w:space="0"/>
              <w:bottom w:val="single" w:color="auto" w:sz="4" w:space="0"/>
              <w:right w:val="single" w:color="000000" w:sz="4" w:space="0"/>
            </w:tcBorders>
            <w:vAlign w:val="center"/>
          </w:tcPr>
          <w:p w14:paraId="06EA201B">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接收安置退役军人的单位将接收安置退役军人编制截留、挪用的，经责令限期改正而逾期仍未改正，造成社会影响的。</w:t>
            </w:r>
          </w:p>
        </w:tc>
        <w:tc>
          <w:tcPr>
            <w:tcW w:w="1124" w:type="dxa"/>
            <w:tcBorders>
              <w:top w:val="single" w:color="auto" w:sz="4" w:space="0"/>
              <w:left w:val="single" w:color="000000" w:sz="4" w:space="0"/>
              <w:bottom w:val="single" w:color="auto" w:sz="4" w:space="0"/>
              <w:right w:val="single" w:color="auto" w:sz="4" w:space="0"/>
            </w:tcBorders>
            <w:vAlign w:val="center"/>
          </w:tcPr>
          <w:p w14:paraId="4D74CF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通报批评</w:t>
            </w:r>
          </w:p>
        </w:tc>
        <w:tc>
          <w:tcPr>
            <w:tcW w:w="908" w:type="dxa"/>
            <w:vMerge w:val="continue"/>
            <w:tcBorders>
              <w:left w:val="single" w:color="000000" w:sz="4" w:space="0"/>
              <w:bottom w:val="single" w:color="auto" w:sz="4" w:space="0"/>
              <w:right w:val="single" w:color="auto" w:sz="4" w:space="0"/>
            </w:tcBorders>
            <w:vAlign w:val="center"/>
          </w:tcPr>
          <w:p w14:paraId="70C2E3EC">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r>
      <w:tr w14:paraId="160B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8" w:hRule="atLeast"/>
          <w:jc w:val="center"/>
        </w:trPr>
        <w:tc>
          <w:tcPr>
            <w:tcW w:w="712" w:type="dxa"/>
            <w:vMerge w:val="restart"/>
            <w:tcBorders>
              <w:top w:val="single" w:color="auto" w:sz="4" w:space="0"/>
              <w:left w:val="single" w:color="auto" w:sz="4" w:space="0"/>
              <w:right w:val="single" w:color="000000" w:sz="4" w:space="0"/>
            </w:tcBorders>
            <w:vAlign w:val="center"/>
          </w:tcPr>
          <w:p w14:paraId="1FFEB5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4</w:t>
            </w:r>
          </w:p>
        </w:tc>
        <w:tc>
          <w:tcPr>
            <w:tcW w:w="1035" w:type="dxa"/>
            <w:vMerge w:val="restart"/>
            <w:tcBorders>
              <w:top w:val="single" w:color="auto" w:sz="4" w:space="0"/>
              <w:left w:val="single" w:color="000000" w:sz="4" w:space="0"/>
              <w:right w:val="single" w:color="000000" w:sz="4" w:space="0"/>
            </w:tcBorders>
            <w:vAlign w:val="center"/>
          </w:tcPr>
          <w:p w14:paraId="0902C848">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接收安置退役军人的单位未按照规定落实退役军人安置待遇</w:t>
            </w:r>
          </w:p>
        </w:tc>
        <w:tc>
          <w:tcPr>
            <w:tcW w:w="3492" w:type="dxa"/>
            <w:vMerge w:val="restart"/>
            <w:tcBorders>
              <w:top w:val="single" w:color="auto" w:sz="4" w:space="0"/>
              <w:left w:val="single" w:color="000000" w:sz="4" w:space="0"/>
              <w:right w:val="single" w:color="000000" w:sz="4" w:space="0"/>
            </w:tcBorders>
            <w:vAlign w:val="center"/>
          </w:tcPr>
          <w:p w14:paraId="6A274F13">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《退役军人安置条例》第八十八条</w:t>
            </w:r>
            <w:r>
              <w:rPr>
                <w:rFonts w:hint="default" w:ascii="Times New Roman" w:hAnsi="Times New Roman" w:eastAsia="国标仿宋-GB/T 2312" w:cs="Times New Roman"/>
                <w:i w:val="0"/>
                <w:color w:val="auto"/>
                <w:spacing w:val="0"/>
                <w:kern w:val="0"/>
                <w:sz w:val="20"/>
                <w:szCs w:val="20"/>
                <w:highlight w:val="none"/>
                <w:u w:val="none"/>
                <w:lang w:val="en" w:eastAsia="zh-CN" w:bidi="ar"/>
              </w:rPr>
              <w:t xml:space="preserve"> </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接收安置退役军人的单位及其工作人员有下列行为之一的，由当地人民政府退役军人工作主管部门责令限期改正；逾期不改正的，予以通报批评，并对负有责任的领导人员和直接责任人员依法给予处分：</w:t>
            </w:r>
          </w:p>
          <w:p w14:paraId="15F71663">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（四）未按照规定落实退役军人安置待遇的；</w:t>
            </w:r>
          </w:p>
        </w:tc>
        <w:tc>
          <w:tcPr>
            <w:tcW w:w="1109" w:type="dxa"/>
            <w:tcBorders>
              <w:top w:val="single" w:color="auto" w:sz="4" w:space="0"/>
              <w:left w:val="single" w:color="000000" w:sz="4" w:space="0"/>
              <w:bottom w:val="single" w:color="auto" w:sz="4" w:space="0"/>
              <w:right w:val="single" w:color="000000" w:sz="4" w:space="0"/>
            </w:tcBorders>
            <w:vAlign w:val="center"/>
          </w:tcPr>
          <w:p w14:paraId="781DE17D">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c>
          <w:tcPr>
            <w:tcW w:w="1137" w:type="dxa"/>
            <w:vMerge w:val="restart"/>
            <w:tcBorders>
              <w:top w:val="single" w:color="auto" w:sz="4" w:space="0"/>
              <w:left w:val="single" w:color="000000" w:sz="4" w:space="0"/>
              <w:right w:val="single" w:color="000000" w:sz="4" w:space="0"/>
            </w:tcBorders>
            <w:vAlign w:val="center"/>
          </w:tcPr>
          <w:p w14:paraId="59D961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通报批评</w:t>
            </w:r>
          </w:p>
        </w:tc>
        <w:tc>
          <w:tcPr>
            <w:tcW w:w="4143" w:type="dxa"/>
            <w:tcBorders>
              <w:top w:val="single" w:color="auto" w:sz="4" w:space="0"/>
              <w:left w:val="single" w:color="000000" w:sz="4" w:space="0"/>
              <w:bottom w:val="single" w:color="auto" w:sz="4" w:space="0"/>
              <w:right w:val="single" w:color="000000" w:sz="4" w:space="0"/>
            </w:tcBorders>
            <w:vAlign w:val="center"/>
          </w:tcPr>
          <w:p w14:paraId="4A411C18">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接收安置退役军人的单位未按照规定落实退役军人安置待遇的，经责令限期改正，及时整改落实到位，且未造成社会影响的。</w:t>
            </w:r>
          </w:p>
        </w:tc>
        <w:tc>
          <w:tcPr>
            <w:tcW w:w="1124" w:type="dxa"/>
            <w:tcBorders>
              <w:top w:val="single" w:color="auto" w:sz="4" w:space="0"/>
              <w:left w:val="single" w:color="000000" w:sz="4" w:space="0"/>
              <w:bottom w:val="single" w:color="auto" w:sz="4" w:space="0"/>
              <w:right w:val="single" w:color="auto" w:sz="4" w:space="0"/>
            </w:tcBorders>
            <w:vAlign w:val="center"/>
          </w:tcPr>
          <w:p w14:paraId="23504E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c>
          <w:tcPr>
            <w:tcW w:w="908" w:type="dxa"/>
            <w:vMerge w:val="restart"/>
            <w:tcBorders>
              <w:top w:val="single" w:color="auto" w:sz="4" w:space="0"/>
              <w:left w:val="single" w:color="000000" w:sz="4" w:space="0"/>
              <w:right w:val="single" w:color="auto" w:sz="4" w:space="0"/>
            </w:tcBorders>
            <w:vAlign w:val="center"/>
          </w:tcPr>
          <w:p w14:paraId="4E4DC17E">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30日内</w:t>
            </w:r>
          </w:p>
        </w:tc>
      </w:tr>
      <w:tr w14:paraId="2894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jc w:val="center"/>
        </w:trPr>
        <w:tc>
          <w:tcPr>
            <w:tcW w:w="712" w:type="dxa"/>
            <w:vMerge w:val="continue"/>
            <w:tcBorders>
              <w:left w:val="single" w:color="auto" w:sz="4" w:space="0"/>
              <w:bottom w:val="single" w:color="auto" w:sz="4" w:space="0"/>
              <w:right w:val="single" w:color="000000" w:sz="4" w:space="0"/>
            </w:tcBorders>
            <w:vAlign w:val="center"/>
          </w:tcPr>
          <w:p w14:paraId="23ED70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035" w:type="dxa"/>
            <w:vMerge w:val="continue"/>
            <w:tcBorders>
              <w:left w:val="single" w:color="000000" w:sz="4" w:space="0"/>
              <w:bottom w:val="single" w:color="auto" w:sz="4" w:space="0"/>
              <w:right w:val="single" w:color="000000" w:sz="4" w:space="0"/>
            </w:tcBorders>
            <w:vAlign w:val="center"/>
          </w:tcPr>
          <w:p w14:paraId="7549F507">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bottom w:val="single" w:color="auto" w:sz="4" w:space="0"/>
              <w:right w:val="single" w:color="000000" w:sz="4" w:space="0"/>
            </w:tcBorders>
            <w:vAlign w:val="center"/>
          </w:tcPr>
          <w:p w14:paraId="599BC3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0" w:beforeAutospacing="0" w:after="20" w:afterAutospacing="0" w:line="400" w:lineRule="exact"/>
              <w:ind w:left="0" w:right="0" w:firstLine="420"/>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109" w:type="dxa"/>
            <w:tcBorders>
              <w:top w:val="single" w:color="auto" w:sz="4" w:space="0"/>
              <w:left w:val="single" w:color="000000" w:sz="4" w:space="0"/>
              <w:bottom w:val="single" w:color="auto" w:sz="4" w:space="0"/>
              <w:right w:val="single" w:color="000000" w:sz="4" w:space="0"/>
            </w:tcBorders>
            <w:vAlign w:val="center"/>
          </w:tcPr>
          <w:p w14:paraId="2DE63057">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一般处罚</w:t>
            </w:r>
          </w:p>
        </w:tc>
        <w:tc>
          <w:tcPr>
            <w:tcW w:w="1137" w:type="dxa"/>
            <w:vMerge w:val="continue"/>
            <w:tcBorders>
              <w:left w:val="single" w:color="000000" w:sz="4" w:space="0"/>
              <w:bottom w:val="single" w:color="auto" w:sz="4" w:space="0"/>
              <w:right w:val="single" w:color="000000" w:sz="4" w:space="0"/>
            </w:tcBorders>
            <w:vAlign w:val="center"/>
          </w:tcPr>
          <w:p w14:paraId="21921A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4143" w:type="dxa"/>
            <w:tcBorders>
              <w:top w:val="single" w:color="auto" w:sz="4" w:space="0"/>
              <w:left w:val="single" w:color="000000" w:sz="4" w:space="0"/>
              <w:bottom w:val="single" w:color="auto" w:sz="4" w:space="0"/>
              <w:right w:val="single" w:color="000000" w:sz="4" w:space="0"/>
            </w:tcBorders>
            <w:vAlign w:val="center"/>
          </w:tcPr>
          <w:p w14:paraId="04AA9883">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接收安置退役军人的单位未按照规定落实退役军人安置待遇的，经责令限期改正而逾期仍未改正，造成社会影响的。</w:t>
            </w:r>
          </w:p>
        </w:tc>
        <w:tc>
          <w:tcPr>
            <w:tcW w:w="1124" w:type="dxa"/>
            <w:tcBorders>
              <w:top w:val="single" w:color="auto" w:sz="4" w:space="0"/>
              <w:left w:val="single" w:color="000000" w:sz="4" w:space="0"/>
              <w:bottom w:val="single" w:color="auto" w:sz="4" w:space="0"/>
              <w:right w:val="single" w:color="auto" w:sz="4" w:space="0"/>
            </w:tcBorders>
            <w:vAlign w:val="center"/>
          </w:tcPr>
          <w:p w14:paraId="06865A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通报批评</w:t>
            </w:r>
          </w:p>
        </w:tc>
        <w:tc>
          <w:tcPr>
            <w:tcW w:w="908" w:type="dxa"/>
            <w:vMerge w:val="continue"/>
            <w:tcBorders>
              <w:left w:val="single" w:color="000000" w:sz="4" w:space="0"/>
              <w:bottom w:val="single" w:color="auto" w:sz="4" w:space="0"/>
              <w:right w:val="single" w:color="auto" w:sz="4" w:space="0"/>
            </w:tcBorders>
            <w:vAlign w:val="center"/>
          </w:tcPr>
          <w:p w14:paraId="457B5EAD">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r>
      <w:tr w14:paraId="34A6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1" w:hRule="atLeast"/>
          <w:jc w:val="center"/>
        </w:trPr>
        <w:tc>
          <w:tcPr>
            <w:tcW w:w="712" w:type="dxa"/>
            <w:vMerge w:val="restart"/>
            <w:tcBorders>
              <w:top w:val="single" w:color="auto" w:sz="4" w:space="0"/>
              <w:left w:val="single" w:color="auto" w:sz="4" w:space="0"/>
              <w:right w:val="single" w:color="000000" w:sz="4" w:space="0"/>
            </w:tcBorders>
            <w:vAlign w:val="center"/>
          </w:tcPr>
          <w:p w14:paraId="0BBDF1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5</w:t>
            </w:r>
          </w:p>
        </w:tc>
        <w:tc>
          <w:tcPr>
            <w:tcW w:w="1035" w:type="dxa"/>
            <w:vMerge w:val="restart"/>
            <w:tcBorders>
              <w:top w:val="single" w:color="auto" w:sz="4" w:space="0"/>
              <w:left w:val="single" w:color="000000" w:sz="4" w:space="0"/>
              <w:right w:val="single" w:color="000000" w:sz="4" w:space="0"/>
            </w:tcBorders>
            <w:vAlign w:val="center"/>
          </w:tcPr>
          <w:p w14:paraId="4AA2D5E0">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接收安置退役军人的单位未依法与转业军官、安排工作的军士、义务兵签订劳务合同、聘用合同</w:t>
            </w:r>
          </w:p>
        </w:tc>
        <w:tc>
          <w:tcPr>
            <w:tcW w:w="3492" w:type="dxa"/>
            <w:vMerge w:val="restart"/>
            <w:tcBorders>
              <w:top w:val="single" w:color="auto" w:sz="4" w:space="0"/>
              <w:left w:val="single" w:color="000000" w:sz="4" w:space="0"/>
              <w:right w:val="single" w:color="000000" w:sz="4" w:space="0"/>
            </w:tcBorders>
            <w:vAlign w:val="center"/>
          </w:tcPr>
          <w:p w14:paraId="6C8C5A2E">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《退役军人安置条例》第三十条 机关、群团组织、事业单位接收安置转业军官、安排工作的军士、义务兵的，应当按照国家有关规定给予编制保障。国有企业应当按照本企业全系统新招录职工数量的规定比例核定年度接收计划，用于接收安置安排工作的退役军士和义务兵。</w:t>
            </w:r>
          </w:p>
          <w:p w14:paraId="30A5A577">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第三十二条</w:t>
            </w:r>
            <w:r>
              <w:rPr>
                <w:rFonts w:hint="default" w:ascii="Times New Roman" w:hAnsi="Times New Roman" w:eastAsia="国标仿宋-GB/T 2312" w:cs="Times New Roman"/>
                <w:i w:val="0"/>
                <w:color w:val="auto"/>
                <w:spacing w:val="0"/>
                <w:kern w:val="0"/>
                <w:sz w:val="20"/>
                <w:szCs w:val="20"/>
                <w:highlight w:val="none"/>
                <w:u w:val="none"/>
                <w:lang w:val="en" w:eastAsia="zh-CN" w:bidi="ar"/>
              </w:rPr>
              <w:t xml:space="preserve"> </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 xml:space="preserve">安排工作的退役军士和义务兵的安置岗位需要签订聘用合同或者劳动合同的，用人单位应当按照规定与其签订不少于3年的中长期聘用合同或者劳动合同。其中，企业接收军龄10年以上的退役军士的，应当与其签订无固定期限劳动合同。                </w:t>
            </w:r>
          </w:p>
          <w:p w14:paraId="5D9FAA94">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第八十八条</w:t>
            </w:r>
            <w:r>
              <w:rPr>
                <w:rFonts w:hint="default" w:ascii="Times New Roman" w:hAnsi="Times New Roman" w:eastAsia="国标仿宋-GB/T 2312" w:cs="Times New Roman"/>
                <w:i w:val="0"/>
                <w:color w:val="auto"/>
                <w:spacing w:val="0"/>
                <w:kern w:val="0"/>
                <w:sz w:val="20"/>
                <w:szCs w:val="20"/>
                <w:highlight w:val="none"/>
                <w:u w:val="none"/>
                <w:lang w:val="en" w:eastAsia="zh-CN" w:bidi="ar"/>
              </w:rPr>
              <w:t xml:space="preserve"> </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接收安置退役军人的单位及其工作人员有下列行为之一的，由当地人民政府退役军人工作主管部门责令限期改正；逾期不改正的，予以通报批评，并对负有责任的领导人员和直接责任人员依法给予处分：</w:t>
            </w:r>
          </w:p>
          <w:p w14:paraId="43473EEF">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（五）未依法与退役军人签订聘用合同或者劳动合同的；</w:t>
            </w:r>
          </w:p>
        </w:tc>
        <w:tc>
          <w:tcPr>
            <w:tcW w:w="1109" w:type="dxa"/>
            <w:tcBorders>
              <w:top w:val="single" w:color="auto" w:sz="4" w:space="0"/>
              <w:left w:val="single" w:color="000000" w:sz="4" w:space="0"/>
              <w:bottom w:val="single" w:color="auto" w:sz="4" w:space="0"/>
              <w:right w:val="single" w:color="000000" w:sz="4" w:space="0"/>
            </w:tcBorders>
            <w:vAlign w:val="center"/>
          </w:tcPr>
          <w:p w14:paraId="0D7D43E0">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c>
          <w:tcPr>
            <w:tcW w:w="1137" w:type="dxa"/>
            <w:vMerge w:val="restart"/>
            <w:tcBorders>
              <w:top w:val="single" w:color="auto" w:sz="4" w:space="0"/>
              <w:left w:val="single" w:color="000000" w:sz="4" w:space="0"/>
              <w:right w:val="single" w:color="000000" w:sz="4" w:space="0"/>
            </w:tcBorders>
            <w:vAlign w:val="center"/>
          </w:tcPr>
          <w:p w14:paraId="4E8AAB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通报批评</w:t>
            </w:r>
          </w:p>
        </w:tc>
        <w:tc>
          <w:tcPr>
            <w:tcW w:w="4143" w:type="dxa"/>
            <w:tcBorders>
              <w:top w:val="single" w:color="auto" w:sz="4" w:space="0"/>
              <w:left w:val="single" w:color="000000" w:sz="4" w:space="0"/>
              <w:bottom w:val="single" w:color="auto" w:sz="4" w:space="0"/>
              <w:right w:val="single" w:color="000000" w:sz="4" w:space="0"/>
            </w:tcBorders>
            <w:vAlign w:val="center"/>
          </w:tcPr>
          <w:p w14:paraId="72F55F7E">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接收安置退役军人的单位未依法与转业军安排工作的军士、义务兵签订聘用合同或者劳动合同的，经责令限期改正后及时整改落实到位，且未造成社会影响的。</w:t>
            </w:r>
          </w:p>
        </w:tc>
        <w:tc>
          <w:tcPr>
            <w:tcW w:w="1124" w:type="dxa"/>
            <w:tcBorders>
              <w:top w:val="single" w:color="auto" w:sz="4" w:space="0"/>
              <w:left w:val="single" w:color="000000" w:sz="4" w:space="0"/>
              <w:bottom w:val="single" w:color="auto" w:sz="4" w:space="0"/>
              <w:right w:val="single" w:color="auto" w:sz="4" w:space="0"/>
            </w:tcBorders>
            <w:vAlign w:val="center"/>
          </w:tcPr>
          <w:p w14:paraId="068415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c>
          <w:tcPr>
            <w:tcW w:w="908" w:type="dxa"/>
            <w:vMerge w:val="restart"/>
            <w:tcBorders>
              <w:top w:val="single" w:color="auto" w:sz="4" w:space="0"/>
              <w:left w:val="single" w:color="000000" w:sz="4" w:space="0"/>
              <w:right w:val="single" w:color="auto" w:sz="4" w:space="0"/>
            </w:tcBorders>
            <w:vAlign w:val="center"/>
          </w:tcPr>
          <w:p w14:paraId="3F9EAEEE">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30日内</w:t>
            </w:r>
          </w:p>
        </w:tc>
      </w:tr>
      <w:tr w14:paraId="220A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jc w:val="center"/>
        </w:trPr>
        <w:tc>
          <w:tcPr>
            <w:tcW w:w="712" w:type="dxa"/>
            <w:vMerge w:val="continue"/>
            <w:tcBorders>
              <w:left w:val="single" w:color="auto" w:sz="4" w:space="0"/>
              <w:bottom w:val="single" w:color="auto" w:sz="4" w:space="0"/>
              <w:right w:val="single" w:color="000000" w:sz="4" w:space="0"/>
            </w:tcBorders>
            <w:vAlign w:val="center"/>
          </w:tcPr>
          <w:p w14:paraId="35CCF3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035" w:type="dxa"/>
            <w:vMerge w:val="continue"/>
            <w:tcBorders>
              <w:left w:val="single" w:color="000000" w:sz="4" w:space="0"/>
              <w:bottom w:val="single" w:color="auto" w:sz="4" w:space="0"/>
              <w:right w:val="single" w:color="000000" w:sz="4" w:space="0"/>
            </w:tcBorders>
            <w:vAlign w:val="center"/>
          </w:tcPr>
          <w:p w14:paraId="1D60D118">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bottom w:val="single" w:color="auto" w:sz="4" w:space="0"/>
              <w:right w:val="single" w:color="000000" w:sz="4" w:space="0"/>
            </w:tcBorders>
            <w:vAlign w:val="center"/>
          </w:tcPr>
          <w:p w14:paraId="0ED247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0" w:beforeAutospacing="0" w:after="20" w:afterAutospacing="0" w:line="400" w:lineRule="exact"/>
              <w:ind w:left="0" w:right="0" w:firstLine="420"/>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109" w:type="dxa"/>
            <w:tcBorders>
              <w:top w:val="single" w:color="auto" w:sz="4" w:space="0"/>
              <w:left w:val="single" w:color="000000" w:sz="4" w:space="0"/>
              <w:bottom w:val="single" w:color="auto" w:sz="4" w:space="0"/>
              <w:right w:val="single" w:color="000000" w:sz="4" w:space="0"/>
            </w:tcBorders>
            <w:vAlign w:val="center"/>
          </w:tcPr>
          <w:p w14:paraId="32A798FD">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一般处罚</w:t>
            </w:r>
          </w:p>
        </w:tc>
        <w:tc>
          <w:tcPr>
            <w:tcW w:w="1137" w:type="dxa"/>
            <w:vMerge w:val="continue"/>
            <w:tcBorders>
              <w:left w:val="single" w:color="000000" w:sz="4" w:space="0"/>
              <w:bottom w:val="single" w:color="auto" w:sz="4" w:space="0"/>
              <w:right w:val="single" w:color="000000" w:sz="4" w:space="0"/>
            </w:tcBorders>
            <w:vAlign w:val="center"/>
          </w:tcPr>
          <w:p w14:paraId="0D15A6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4143" w:type="dxa"/>
            <w:tcBorders>
              <w:top w:val="single" w:color="auto" w:sz="4" w:space="0"/>
              <w:left w:val="single" w:color="000000" w:sz="4" w:space="0"/>
              <w:bottom w:val="single" w:color="auto" w:sz="4" w:space="0"/>
              <w:right w:val="single" w:color="000000" w:sz="4" w:space="0"/>
            </w:tcBorders>
            <w:vAlign w:val="center"/>
          </w:tcPr>
          <w:p w14:paraId="1B64A240">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接收安置退役军人的单位未依法与转业军安排工作的军士、义务兵签订聘用合同或者劳动合同的，经责令限期改正而逾期仍未改正，造成社会影响的。</w:t>
            </w:r>
          </w:p>
        </w:tc>
        <w:tc>
          <w:tcPr>
            <w:tcW w:w="1124" w:type="dxa"/>
            <w:tcBorders>
              <w:top w:val="single" w:color="auto" w:sz="4" w:space="0"/>
              <w:left w:val="single" w:color="000000" w:sz="4" w:space="0"/>
              <w:bottom w:val="single" w:color="auto" w:sz="4" w:space="0"/>
              <w:right w:val="single" w:color="auto" w:sz="4" w:space="0"/>
            </w:tcBorders>
            <w:vAlign w:val="center"/>
          </w:tcPr>
          <w:p w14:paraId="17E60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通报批评</w:t>
            </w:r>
          </w:p>
        </w:tc>
        <w:tc>
          <w:tcPr>
            <w:tcW w:w="908" w:type="dxa"/>
            <w:vMerge w:val="continue"/>
            <w:tcBorders>
              <w:left w:val="single" w:color="000000" w:sz="4" w:space="0"/>
              <w:bottom w:val="single" w:color="auto" w:sz="4" w:space="0"/>
              <w:right w:val="single" w:color="auto" w:sz="4" w:space="0"/>
            </w:tcBorders>
            <w:vAlign w:val="center"/>
          </w:tcPr>
          <w:p w14:paraId="0F8365FA">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r>
      <w:tr w14:paraId="6AA6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2" w:type="dxa"/>
            <w:vMerge w:val="restart"/>
            <w:tcBorders>
              <w:top w:val="single" w:color="auto" w:sz="4" w:space="0"/>
              <w:left w:val="single" w:color="auto" w:sz="4" w:space="0"/>
              <w:right w:val="single" w:color="000000" w:sz="4" w:space="0"/>
            </w:tcBorders>
            <w:vAlign w:val="center"/>
          </w:tcPr>
          <w:p w14:paraId="785549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6</w:t>
            </w:r>
          </w:p>
        </w:tc>
        <w:tc>
          <w:tcPr>
            <w:tcW w:w="1035" w:type="dxa"/>
            <w:vMerge w:val="restart"/>
            <w:tcBorders>
              <w:top w:val="single" w:color="auto" w:sz="4" w:space="0"/>
              <w:left w:val="single" w:color="000000" w:sz="4" w:space="0"/>
              <w:right w:val="single" w:color="000000" w:sz="4" w:space="0"/>
            </w:tcBorders>
            <w:vAlign w:val="center"/>
          </w:tcPr>
          <w:p w14:paraId="5B177B3C">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接收安置退役军人的单位违法与残疾退役军人解除聘用合同或者劳动合同</w:t>
            </w:r>
          </w:p>
        </w:tc>
        <w:tc>
          <w:tcPr>
            <w:tcW w:w="3492" w:type="dxa"/>
            <w:vMerge w:val="restart"/>
            <w:tcBorders>
              <w:top w:val="single" w:color="auto" w:sz="4" w:space="0"/>
              <w:left w:val="single" w:color="000000" w:sz="4" w:space="0"/>
              <w:right w:val="single" w:color="000000" w:sz="4" w:space="0"/>
            </w:tcBorders>
            <w:vAlign w:val="center"/>
          </w:tcPr>
          <w:p w14:paraId="34F67914">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《退役军人安置条例》第八十八条</w:t>
            </w:r>
            <w:r>
              <w:rPr>
                <w:rFonts w:hint="default" w:ascii="Times New Roman" w:hAnsi="Times New Roman" w:eastAsia="国标仿宋-GB/T 2312" w:cs="Times New Roman"/>
                <w:i w:val="0"/>
                <w:color w:val="auto"/>
                <w:spacing w:val="0"/>
                <w:kern w:val="0"/>
                <w:sz w:val="20"/>
                <w:szCs w:val="20"/>
                <w:highlight w:val="none"/>
                <w:u w:val="none"/>
                <w:lang w:val="en" w:eastAsia="zh-CN" w:bidi="ar"/>
              </w:rPr>
              <w:t xml:space="preserve"> </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接收安置退役军人的单位及其工作人员有下列行为之一的，由当地人民政府退役军人工作主管部门责令限期改正；逾期不改正的，予以通报批评，并对负有责任的领导人员和直接责任人员依法给予处分：</w:t>
            </w:r>
          </w:p>
          <w:p w14:paraId="526155F1">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（六）违法与残疾退役军人解除聘用合同或者劳动合同的；</w:t>
            </w:r>
          </w:p>
        </w:tc>
        <w:tc>
          <w:tcPr>
            <w:tcW w:w="1109" w:type="dxa"/>
            <w:tcBorders>
              <w:top w:val="single" w:color="auto" w:sz="4" w:space="0"/>
              <w:left w:val="single" w:color="000000" w:sz="4" w:space="0"/>
              <w:bottom w:val="nil"/>
              <w:right w:val="single" w:color="000000" w:sz="4" w:space="0"/>
            </w:tcBorders>
            <w:vAlign w:val="center"/>
          </w:tcPr>
          <w:p w14:paraId="3E253DA6">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c>
          <w:tcPr>
            <w:tcW w:w="1137" w:type="dxa"/>
            <w:vMerge w:val="restart"/>
            <w:tcBorders>
              <w:top w:val="single" w:color="auto" w:sz="4" w:space="0"/>
              <w:left w:val="single" w:color="000000" w:sz="4" w:space="0"/>
              <w:right w:val="single" w:color="000000" w:sz="4" w:space="0"/>
            </w:tcBorders>
            <w:vAlign w:val="center"/>
          </w:tcPr>
          <w:p w14:paraId="463708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通报批评</w:t>
            </w:r>
          </w:p>
        </w:tc>
        <w:tc>
          <w:tcPr>
            <w:tcW w:w="4143" w:type="dxa"/>
            <w:tcBorders>
              <w:top w:val="single" w:color="auto" w:sz="4" w:space="0"/>
              <w:left w:val="single" w:color="000000" w:sz="4" w:space="0"/>
              <w:bottom w:val="nil"/>
              <w:right w:val="single" w:color="000000" w:sz="4" w:space="0"/>
            </w:tcBorders>
            <w:vAlign w:val="center"/>
          </w:tcPr>
          <w:p w14:paraId="210AF007">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接收安置退役军人的单位违法与残疾退役军人解除聘用合同或者劳动合同的，经责令限期改正，及时整改落实到位，且未造成社会影响的。</w:t>
            </w:r>
          </w:p>
        </w:tc>
        <w:tc>
          <w:tcPr>
            <w:tcW w:w="1124" w:type="dxa"/>
            <w:tcBorders>
              <w:top w:val="single" w:color="auto" w:sz="4" w:space="0"/>
              <w:left w:val="single" w:color="000000" w:sz="4" w:space="0"/>
              <w:bottom w:val="nil"/>
              <w:right w:val="single" w:color="auto" w:sz="4" w:space="0"/>
            </w:tcBorders>
            <w:vAlign w:val="center"/>
          </w:tcPr>
          <w:p w14:paraId="5F91BCD5">
            <w:pPr>
              <w:jc w:val="center"/>
              <w:rPr>
                <w:rFonts w:hint="default" w:ascii="Times New Roman" w:hAnsi="Times New Roman" w:eastAsia="国标仿宋-GB/T 2312" w:cs="Times New Roman"/>
                <w:color w:val="auto"/>
                <w:u w:val="no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c>
          <w:tcPr>
            <w:tcW w:w="908" w:type="dxa"/>
            <w:vMerge w:val="restart"/>
            <w:tcBorders>
              <w:top w:val="single" w:color="auto" w:sz="4" w:space="0"/>
              <w:left w:val="single" w:color="000000" w:sz="4" w:space="0"/>
              <w:right w:val="single" w:color="auto" w:sz="4" w:space="0"/>
            </w:tcBorders>
            <w:vAlign w:val="center"/>
          </w:tcPr>
          <w:p w14:paraId="604367AB">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30日内</w:t>
            </w:r>
          </w:p>
        </w:tc>
      </w:tr>
      <w:tr w14:paraId="1B41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712" w:type="dxa"/>
            <w:vMerge w:val="continue"/>
            <w:tcBorders>
              <w:left w:val="single" w:color="auto" w:sz="4" w:space="0"/>
              <w:bottom w:val="single" w:color="auto" w:sz="4" w:space="0"/>
              <w:right w:val="single" w:color="000000" w:sz="4" w:space="0"/>
            </w:tcBorders>
            <w:vAlign w:val="center"/>
          </w:tcPr>
          <w:p w14:paraId="04F100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035" w:type="dxa"/>
            <w:vMerge w:val="continue"/>
            <w:tcBorders>
              <w:left w:val="single" w:color="000000" w:sz="4" w:space="0"/>
              <w:bottom w:val="single" w:color="auto" w:sz="4" w:space="0"/>
              <w:right w:val="single" w:color="000000" w:sz="4" w:space="0"/>
            </w:tcBorders>
            <w:vAlign w:val="center"/>
          </w:tcPr>
          <w:p w14:paraId="11B3F84A">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bottom w:val="single" w:color="auto" w:sz="4" w:space="0"/>
              <w:right w:val="single" w:color="000000" w:sz="4" w:space="0"/>
            </w:tcBorders>
            <w:vAlign w:val="center"/>
          </w:tcPr>
          <w:p w14:paraId="2582F9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0" w:beforeAutospacing="0" w:after="20" w:afterAutospacing="0" w:line="400" w:lineRule="exact"/>
              <w:ind w:left="0" w:right="0" w:firstLine="420"/>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109" w:type="dxa"/>
            <w:tcBorders>
              <w:top w:val="single" w:color="auto" w:sz="4" w:space="0"/>
              <w:left w:val="single" w:color="000000" w:sz="4" w:space="0"/>
              <w:bottom w:val="single" w:color="auto" w:sz="4" w:space="0"/>
              <w:right w:val="single" w:color="000000" w:sz="4" w:space="0"/>
            </w:tcBorders>
            <w:vAlign w:val="center"/>
          </w:tcPr>
          <w:p w14:paraId="4213A538">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一般处罚</w:t>
            </w:r>
          </w:p>
        </w:tc>
        <w:tc>
          <w:tcPr>
            <w:tcW w:w="1137" w:type="dxa"/>
            <w:vMerge w:val="continue"/>
            <w:tcBorders>
              <w:left w:val="single" w:color="000000" w:sz="4" w:space="0"/>
              <w:bottom w:val="single" w:color="auto" w:sz="4" w:space="0"/>
              <w:right w:val="single" w:color="000000" w:sz="4" w:space="0"/>
            </w:tcBorders>
            <w:vAlign w:val="center"/>
          </w:tcPr>
          <w:p w14:paraId="2B2BA7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4143" w:type="dxa"/>
            <w:tcBorders>
              <w:top w:val="single" w:color="auto" w:sz="4" w:space="0"/>
              <w:left w:val="single" w:color="000000" w:sz="4" w:space="0"/>
              <w:bottom w:val="single" w:color="auto" w:sz="4" w:space="0"/>
              <w:right w:val="single" w:color="000000" w:sz="4" w:space="0"/>
            </w:tcBorders>
            <w:vAlign w:val="center"/>
          </w:tcPr>
          <w:p w14:paraId="341B6FBB">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接收安置退役军人的单位违法与残疾退役军人解除聘用合同或者劳动合同的，经责令限期改正逾期仍未改正，造成社会影响的。</w:t>
            </w:r>
          </w:p>
        </w:tc>
        <w:tc>
          <w:tcPr>
            <w:tcW w:w="1124" w:type="dxa"/>
            <w:tcBorders>
              <w:top w:val="single" w:color="auto" w:sz="4" w:space="0"/>
              <w:left w:val="single" w:color="000000" w:sz="4" w:space="0"/>
              <w:bottom w:val="single" w:color="auto" w:sz="4" w:space="0"/>
              <w:right w:val="single" w:color="auto" w:sz="4" w:space="0"/>
            </w:tcBorders>
            <w:vAlign w:val="center"/>
          </w:tcPr>
          <w:p w14:paraId="20115D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通报批评</w:t>
            </w:r>
          </w:p>
        </w:tc>
        <w:tc>
          <w:tcPr>
            <w:tcW w:w="908" w:type="dxa"/>
            <w:vMerge w:val="continue"/>
            <w:tcBorders>
              <w:left w:val="single" w:color="000000" w:sz="4" w:space="0"/>
              <w:bottom w:val="single" w:color="auto" w:sz="4" w:space="0"/>
              <w:right w:val="single" w:color="auto" w:sz="4" w:space="0"/>
            </w:tcBorders>
            <w:vAlign w:val="center"/>
          </w:tcPr>
          <w:p w14:paraId="2E69BF9B">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r>
      <w:tr w14:paraId="1605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6" w:hRule="atLeast"/>
          <w:jc w:val="center"/>
        </w:trPr>
        <w:tc>
          <w:tcPr>
            <w:tcW w:w="712" w:type="dxa"/>
            <w:vMerge w:val="restart"/>
            <w:tcBorders>
              <w:left w:val="single" w:color="auto" w:sz="4" w:space="0"/>
              <w:right w:val="single" w:color="000000" w:sz="4" w:space="0"/>
            </w:tcBorders>
            <w:vAlign w:val="center"/>
          </w:tcPr>
          <w:p w14:paraId="07754F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7</w:t>
            </w:r>
          </w:p>
        </w:tc>
        <w:tc>
          <w:tcPr>
            <w:tcW w:w="1035" w:type="dxa"/>
            <w:vMerge w:val="restart"/>
            <w:tcBorders>
              <w:left w:val="single" w:color="000000" w:sz="4" w:space="0"/>
              <w:right w:val="single" w:color="000000" w:sz="4" w:space="0"/>
            </w:tcBorders>
            <w:vAlign w:val="center"/>
          </w:tcPr>
          <w:p w14:paraId="7A88C460">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弄虚作假骗取安置待遇</w:t>
            </w:r>
          </w:p>
        </w:tc>
        <w:tc>
          <w:tcPr>
            <w:tcW w:w="3492" w:type="dxa"/>
            <w:vMerge w:val="restart"/>
            <w:tcBorders>
              <w:left w:val="single" w:color="000000" w:sz="4" w:space="0"/>
              <w:right w:val="single" w:color="auto" w:sz="4" w:space="0"/>
            </w:tcBorders>
            <w:vAlign w:val="center"/>
          </w:tcPr>
          <w:p w14:paraId="0631ECFE">
            <w:pPr>
              <w:keepNext w:val="0"/>
              <w:keepLines w:val="0"/>
              <w:pageBreakBefore w:val="0"/>
              <w:widowControl/>
              <w:suppressLineNumbers w:val="0"/>
              <w:kinsoku/>
              <w:wordWrap/>
              <w:overflowPunct/>
              <w:topLinePunct w:val="0"/>
              <w:autoSpaceDE/>
              <w:autoSpaceDN/>
              <w:bidi w:val="0"/>
              <w:adjustRightInd w:val="0"/>
              <w:snapToGrid w:val="0"/>
              <w:ind w:firstLine="400" w:firstLineChars="20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 xml:space="preserve">《退役军人保障法》第七十八条 退役军人弄虚作假骗取退役相关待遇的，由县级以上地方人民政府退役军人工作主管部门取消相关待遇，追缴非法所得，并由其所在单位或者有关部门依法给予处分。        </w:t>
            </w:r>
          </w:p>
          <w:p w14:paraId="13A31D85">
            <w:pPr>
              <w:keepNext w:val="0"/>
              <w:keepLines w:val="0"/>
              <w:pageBreakBefore w:val="0"/>
              <w:widowControl/>
              <w:suppressLineNumbers w:val="0"/>
              <w:kinsoku/>
              <w:wordWrap/>
              <w:overflowPunct/>
              <w:topLinePunct w:val="0"/>
              <w:autoSpaceDE/>
              <w:autoSpaceDN/>
              <w:bidi w:val="0"/>
              <w:adjustRightInd w:val="0"/>
              <w:snapToGrid w:val="0"/>
              <w:ind w:firstLine="400" w:firstLineChars="20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《退役军人安置条例》第八十九条</w:t>
            </w:r>
            <w:r>
              <w:rPr>
                <w:rFonts w:hint="default" w:ascii="Times New Roman" w:hAnsi="Times New Roman" w:eastAsia="国标仿宋-GB/T 2312" w:cs="Times New Roman"/>
                <w:i w:val="0"/>
                <w:color w:val="auto"/>
                <w:spacing w:val="0"/>
                <w:kern w:val="0"/>
                <w:sz w:val="20"/>
                <w:szCs w:val="20"/>
                <w:highlight w:val="none"/>
                <w:u w:val="none"/>
                <w:lang w:val="en" w:eastAsia="zh-CN" w:bidi="ar"/>
              </w:rPr>
              <w:t xml:space="preserve"> </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退役军人弄虚作假骗取安置待遇的，由县级以上地方人民政府退役军人工作主管部门取消相关待遇，追缴非法所得，依法追究责任。</w:t>
            </w:r>
          </w:p>
        </w:tc>
        <w:tc>
          <w:tcPr>
            <w:tcW w:w="1109" w:type="dxa"/>
            <w:tcBorders>
              <w:top w:val="single" w:color="auto" w:sz="4" w:space="0"/>
              <w:left w:val="single" w:color="auto" w:sz="4" w:space="0"/>
              <w:bottom w:val="single" w:color="auto" w:sz="4" w:space="0"/>
              <w:right w:val="single" w:color="000000" w:sz="4" w:space="0"/>
            </w:tcBorders>
            <w:vAlign w:val="center"/>
          </w:tcPr>
          <w:p w14:paraId="4B67C8C2">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减轻处罚</w:t>
            </w:r>
          </w:p>
        </w:tc>
        <w:tc>
          <w:tcPr>
            <w:tcW w:w="1137" w:type="dxa"/>
            <w:vMerge w:val="restart"/>
            <w:tcBorders>
              <w:top w:val="single" w:color="auto" w:sz="4" w:space="0"/>
              <w:left w:val="single" w:color="000000" w:sz="4" w:space="0"/>
              <w:right w:val="single" w:color="000000" w:sz="4" w:space="0"/>
            </w:tcBorders>
            <w:vAlign w:val="center"/>
          </w:tcPr>
          <w:p w14:paraId="1DC427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国标仿宋-GB/T 2312" w:cs="Times New Roman"/>
                <w:i w:val="0"/>
                <w:color w:val="auto"/>
                <w:spacing w:val="0"/>
                <w:kern w:val="0"/>
                <w:sz w:val="20"/>
                <w:szCs w:val="20"/>
                <w:highlight w:val="none"/>
                <w:u w:val="none"/>
                <w:lang w:val="en-US" w:eastAsia="zh-CN" w:bidi="ar"/>
              </w:rPr>
            </w:pPr>
            <w:r>
              <w:rPr>
                <w:rFonts w:hint="eastAsia" w:ascii="Times New Roman" w:hAnsi="Times New Roman" w:eastAsia="国标仿宋-GB/T 2312" w:cs="Times New Roman"/>
                <w:i w:val="0"/>
                <w:color w:val="auto"/>
                <w:spacing w:val="0"/>
                <w:kern w:val="0"/>
                <w:sz w:val="20"/>
                <w:szCs w:val="20"/>
                <w:highlight w:val="none"/>
                <w:u w:val="none"/>
                <w:lang w:val="en-US" w:eastAsia="zh-CN" w:bidi="ar"/>
              </w:rPr>
              <w:t>没收违</w:t>
            </w:r>
          </w:p>
          <w:p w14:paraId="32E415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eastAsia" w:ascii="Times New Roman" w:hAnsi="Times New Roman" w:eastAsia="国标仿宋-GB/T 2312" w:cs="Times New Roman"/>
                <w:i w:val="0"/>
                <w:color w:val="auto"/>
                <w:spacing w:val="0"/>
                <w:kern w:val="0"/>
                <w:sz w:val="20"/>
                <w:szCs w:val="20"/>
                <w:highlight w:val="none"/>
                <w:u w:val="none"/>
                <w:lang w:val="en-US" w:eastAsia="zh-CN" w:bidi="ar"/>
              </w:rPr>
              <w:t>法</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所得</w:t>
            </w:r>
          </w:p>
        </w:tc>
        <w:tc>
          <w:tcPr>
            <w:tcW w:w="4143" w:type="dxa"/>
            <w:tcBorders>
              <w:top w:val="single" w:color="auto" w:sz="4" w:space="0"/>
              <w:left w:val="single" w:color="000000" w:sz="4" w:space="0"/>
              <w:bottom w:val="single" w:color="auto" w:sz="4" w:space="0"/>
              <w:right w:val="single" w:color="000000" w:sz="4" w:space="0"/>
            </w:tcBorders>
            <w:vAlign w:val="center"/>
          </w:tcPr>
          <w:p w14:paraId="30B60F4E">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退役军人弄虚作假骗取安置待遇</w:t>
            </w:r>
            <w:r>
              <w:rPr>
                <w:rFonts w:hint="eastAsia" w:ascii="Times New Roman" w:hAnsi="Times New Roman" w:eastAsia="国标仿宋-GB/T 2312" w:cs="Times New Roman"/>
                <w:i w:val="0"/>
                <w:color w:val="auto"/>
                <w:spacing w:val="0"/>
                <w:kern w:val="0"/>
                <w:sz w:val="20"/>
                <w:szCs w:val="20"/>
                <w:highlight w:val="none"/>
                <w:u w:val="none"/>
                <w:lang w:val="en-US" w:eastAsia="zh-CN" w:bidi="ar"/>
              </w:rPr>
              <w:t>到安置机关报到安置未超过3月</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，主动</w:t>
            </w:r>
            <w:r>
              <w:rPr>
                <w:rFonts w:hint="eastAsia" w:ascii="Times New Roman" w:hAnsi="Times New Roman" w:eastAsia="国标仿宋-GB/T 2312" w:cs="Times New Roman"/>
                <w:i w:val="0"/>
                <w:color w:val="auto"/>
                <w:spacing w:val="0"/>
                <w:kern w:val="0"/>
                <w:sz w:val="20"/>
                <w:szCs w:val="20"/>
                <w:highlight w:val="none"/>
                <w:u w:val="none"/>
                <w:lang w:val="en-US" w:eastAsia="zh-CN" w:bidi="ar"/>
              </w:rPr>
              <w:t>向安置机关或退役报到机关承认骗取安置待遇事实，上</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缴违法所得，认错态度</w:t>
            </w:r>
            <w:r>
              <w:rPr>
                <w:rFonts w:hint="eastAsia" w:ascii="Times New Roman" w:hAnsi="Times New Roman" w:eastAsia="国标仿宋-GB/T 2312" w:cs="Times New Roman"/>
                <w:i w:val="0"/>
                <w:color w:val="auto"/>
                <w:spacing w:val="0"/>
                <w:kern w:val="0"/>
                <w:sz w:val="20"/>
                <w:szCs w:val="20"/>
                <w:highlight w:val="none"/>
                <w:u w:val="none"/>
                <w:lang w:val="en-US" w:eastAsia="zh-CN" w:bidi="ar"/>
              </w:rPr>
              <w:t>良好</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，且未造成社会影响的。</w:t>
            </w:r>
          </w:p>
        </w:tc>
        <w:tc>
          <w:tcPr>
            <w:tcW w:w="1124" w:type="dxa"/>
            <w:tcBorders>
              <w:top w:val="single" w:color="auto" w:sz="4" w:space="0"/>
              <w:left w:val="single" w:color="000000" w:sz="4" w:space="0"/>
              <w:bottom w:val="single" w:color="auto" w:sz="4" w:space="0"/>
              <w:right w:val="single" w:color="auto" w:sz="4" w:space="0"/>
            </w:tcBorders>
            <w:vAlign w:val="center"/>
          </w:tcPr>
          <w:p w14:paraId="1EDAC3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取消相关待遇，收回非法所得</w:t>
            </w:r>
          </w:p>
        </w:tc>
        <w:tc>
          <w:tcPr>
            <w:tcW w:w="908" w:type="dxa"/>
            <w:vMerge w:val="restart"/>
            <w:tcBorders>
              <w:left w:val="single" w:color="000000" w:sz="4" w:space="0"/>
              <w:right w:val="single" w:color="auto" w:sz="4" w:space="0"/>
            </w:tcBorders>
            <w:vAlign w:val="center"/>
          </w:tcPr>
          <w:p w14:paraId="485E825B">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eastAsia" w:ascii="Times New Roman" w:hAnsi="Times New Roman" w:eastAsia="国标仿宋-GB/T 2312" w:cs="Times New Roman"/>
                <w:i w:val="0"/>
                <w:color w:val="auto"/>
                <w:spacing w:val="0"/>
                <w:kern w:val="0"/>
                <w:sz w:val="20"/>
                <w:szCs w:val="20"/>
                <w:highlight w:val="none"/>
                <w:u w:val="none"/>
                <w:lang w:val="en-US" w:eastAsia="zh-CN" w:bidi="ar"/>
              </w:rPr>
              <w:t>适用条件中的未超过3月包含3月；超过3月不包含3月</w:t>
            </w:r>
          </w:p>
        </w:tc>
      </w:tr>
      <w:tr w14:paraId="5D5D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4" w:hRule="atLeast"/>
          <w:jc w:val="center"/>
        </w:trPr>
        <w:tc>
          <w:tcPr>
            <w:tcW w:w="712" w:type="dxa"/>
            <w:vMerge w:val="continue"/>
            <w:tcBorders>
              <w:left w:val="single" w:color="auto" w:sz="4" w:space="0"/>
              <w:bottom w:val="single" w:color="auto" w:sz="4" w:space="0"/>
              <w:right w:val="single" w:color="000000" w:sz="4" w:space="0"/>
            </w:tcBorders>
            <w:vAlign w:val="center"/>
          </w:tcPr>
          <w:p w14:paraId="6F4AB1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035" w:type="dxa"/>
            <w:vMerge w:val="continue"/>
            <w:tcBorders>
              <w:left w:val="single" w:color="000000" w:sz="4" w:space="0"/>
              <w:bottom w:val="single" w:color="auto" w:sz="4" w:space="0"/>
              <w:right w:val="single" w:color="000000" w:sz="4" w:space="0"/>
            </w:tcBorders>
            <w:vAlign w:val="center"/>
          </w:tcPr>
          <w:p w14:paraId="1F322A6E">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bottom w:val="single" w:color="auto" w:sz="4" w:space="0"/>
              <w:right w:val="single" w:color="auto" w:sz="4" w:space="0"/>
            </w:tcBorders>
            <w:vAlign w:val="center"/>
          </w:tcPr>
          <w:p w14:paraId="1AA7BA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0" w:beforeAutospacing="0" w:after="20" w:afterAutospacing="0" w:line="400" w:lineRule="exact"/>
              <w:ind w:right="0" w:firstLine="400" w:firstLineChars="200"/>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109" w:type="dxa"/>
            <w:tcBorders>
              <w:top w:val="single" w:color="auto" w:sz="4" w:space="0"/>
              <w:left w:val="single" w:color="auto" w:sz="4" w:space="0"/>
              <w:right w:val="single" w:color="auto" w:sz="4" w:space="0"/>
            </w:tcBorders>
            <w:vAlign w:val="center"/>
          </w:tcPr>
          <w:p w14:paraId="606EFA51">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一般处罚</w:t>
            </w:r>
          </w:p>
        </w:tc>
        <w:tc>
          <w:tcPr>
            <w:tcW w:w="1137" w:type="dxa"/>
            <w:vMerge w:val="continue"/>
            <w:tcBorders>
              <w:left w:val="single" w:color="000000" w:sz="4" w:space="0"/>
              <w:right w:val="single" w:color="000000" w:sz="4" w:space="0"/>
            </w:tcBorders>
            <w:vAlign w:val="center"/>
          </w:tcPr>
          <w:p w14:paraId="116EFB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4143" w:type="dxa"/>
            <w:tcBorders>
              <w:top w:val="single" w:color="auto" w:sz="4" w:space="0"/>
              <w:left w:val="single" w:color="000000" w:sz="4" w:space="0"/>
              <w:right w:val="single" w:color="000000" w:sz="4" w:space="0"/>
            </w:tcBorders>
            <w:vAlign w:val="center"/>
          </w:tcPr>
          <w:p w14:paraId="608D37DE">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退役军人弄虚作假骗取安置待遇</w:t>
            </w:r>
            <w:r>
              <w:rPr>
                <w:rFonts w:hint="eastAsia" w:ascii="Times New Roman" w:hAnsi="Times New Roman" w:eastAsia="国标仿宋-GB/T 2312" w:cs="Times New Roman"/>
                <w:i w:val="0"/>
                <w:color w:val="auto"/>
                <w:spacing w:val="0"/>
                <w:kern w:val="0"/>
                <w:sz w:val="20"/>
                <w:szCs w:val="20"/>
                <w:highlight w:val="none"/>
                <w:u w:val="none"/>
                <w:lang w:val="en-US" w:eastAsia="zh-CN" w:bidi="ar"/>
              </w:rPr>
              <w:t>到安置机关报到安置不满3月</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w:t>
            </w:r>
            <w:r>
              <w:rPr>
                <w:rFonts w:hint="eastAsia" w:ascii="Times New Roman" w:hAnsi="Times New Roman" w:eastAsia="国标仿宋-GB/T 2312" w:cs="Times New Roman"/>
                <w:i w:val="0"/>
                <w:color w:val="auto"/>
                <w:spacing w:val="0"/>
                <w:kern w:val="0"/>
                <w:sz w:val="20"/>
                <w:szCs w:val="20"/>
                <w:highlight w:val="none"/>
                <w:u w:val="none"/>
                <w:lang w:val="en-US" w:eastAsia="zh-CN" w:bidi="ar"/>
              </w:rPr>
              <w:t>虽主动向安置机关或退役报到机关承认骗取安置待遇事实，上</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缴违法所得，</w:t>
            </w:r>
            <w:r>
              <w:rPr>
                <w:rFonts w:hint="eastAsia" w:ascii="Times New Roman" w:hAnsi="Times New Roman" w:eastAsia="国标仿宋-GB/T 2312" w:cs="Times New Roman"/>
                <w:i w:val="0"/>
                <w:color w:val="auto"/>
                <w:spacing w:val="0"/>
                <w:kern w:val="0"/>
                <w:sz w:val="20"/>
                <w:szCs w:val="20"/>
                <w:highlight w:val="none"/>
                <w:u w:val="none"/>
                <w:lang w:val="en-US" w:eastAsia="zh-CN" w:bidi="ar"/>
              </w:rPr>
              <w:t>但社会影响恶劣的；退役军人骗取安置待遇且到安置机关报到超过3月的。</w:t>
            </w:r>
          </w:p>
        </w:tc>
        <w:tc>
          <w:tcPr>
            <w:tcW w:w="1124" w:type="dxa"/>
            <w:tcBorders>
              <w:top w:val="single" w:color="auto" w:sz="4" w:space="0"/>
              <w:left w:val="single" w:color="000000" w:sz="4" w:space="0"/>
              <w:bottom w:val="single" w:color="auto" w:sz="4" w:space="0"/>
              <w:right w:val="single" w:color="auto" w:sz="4" w:space="0"/>
            </w:tcBorders>
            <w:vAlign w:val="center"/>
          </w:tcPr>
          <w:p w14:paraId="7F2BBB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取消相关待遇，追缴非法所得，移送</w:t>
            </w:r>
            <w:r>
              <w:rPr>
                <w:rFonts w:hint="eastAsia" w:ascii="Times New Roman" w:hAnsi="Times New Roman" w:eastAsia="国标仿宋-GB/T 2312" w:cs="Times New Roman"/>
                <w:i w:val="0"/>
                <w:color w:val="auto"/>
                <w:spacing w:val="0"/>
                <w:kern w:val="0"/>
                <w:sz w:val="20"/>
                <w:szCs w:val="20"/>
                <w:highlight w:val="none"/>
                <w:u w:val="none"/>
                <w:lang w:val="en-US" w:eastAsia="zh-CN" w:bidi="ar"/>
              </w:rPr>
              <w:t>有关</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机关追究其刑事责任</w:t>
            </w:r>
            <w:r>
              <w:rPr>
                <w:rFonts w:hint="eastAsia" w:ascii="Times New Roman" w:hAnsi="Times New Roman" w:eastAsia="国标仿宋-GB/T 2312" w:cs="Times New Roman"/>
                <w:i w:val="0"/>
                <w:color w:val="auto"/>
                <w:spacing w:val="0"/>
                <w:kern w:val="0"/>
                <w:sz w:val="20"/>
                <w:szCs w:val="20"/>
                <w:highlight w:val="none"/>
                <w:u w:val="none"/>
                <w:lang w:val="en-US" w:eastAsia="zh-CN" w:bidi="ar"/>
              </w:rPr>
              <w:t>。</w:t>
            </w:r>
          </w:p>
        </w:tc>
        <w:tc>
          <w:tcPr>
            <w:tcW w:w="908" w:type="dxa"/>
            <w:vMerge w:val="continue"/>
            <w:tcBorders>
              <w:left w:val="single" w:color="000000" w:sz="4" w:space="0"/>
              <w:right w:val="single" w:color="auto" w:sz="4" w:space="0"/>
            </w:tcBorders>
            <w:vAlign w:val="center"/>
          </w:tcPr>
          <w:p w14:paraId="678FFD43">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r>
      <w:tr w14:paraId="40A4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712" w:type="dxa"/>
            <w:vMerge w:val="restart"/>
            <w:tcBorders>
              <w:top w:val="single" w:color="auto" w:sz="4" w:space="0"/>
              <w:left w:val="single" w:color="000000" w:sz="4" w:space="0"/>
              <w:right w:val="single" w:color="000000" w:sz="4" w:space="0"/>
            </w:tcBorders>
            <w:vAlign w:val="center"/>
          </w:tcPr>
          <w:p w14:paraId="0BD932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8</w:t>
            </w:r>
          </w:p>
        </w:tc>
        <w:tc>
          <w:tcPr>
            <w:tcW w:w="1035" w:type="dxa"/>
            <w:vMerge w:val="restart"/>
            <w:tcBorders>
              <w:top w:val="single" w:color="auto" w:sz="4" w:space="0"/>
              <w:left w:val="single" w:color="000000" w:sz="4" w:space="0"/>
              <w:right w:val="single" w:color="000000" w:sz="4" w:space="0"/>
            </w:tcBorders>
            <w:vAlign w:val="center"/>
          </w:tcPr>
          <w:p w14:paraId="2CB236ED">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负有军人优待义务的单位不履行军人优待义务，责令限期履行义务，逾期仍未履行</w:t>
            </w:r>
          </w:p>
        </w:tc>
        <w:tc>
          <w:tcPr>
            <w:tcW w:w="3492" w:type="dxa"/>
            <w:vMerge w:val="restart"/>
            <w:tcBorders>
              <w:top w:val="single" w:color="auto" w:sz="4" w:space="0"/>
              <w:left w:val="single" w:color="000000" w:sz="4" w:space="0"/>
              <w:right w:val="single" w:color="000000" w:sz="4" w:space="0"/>
            </w:tcBorders>
            <w:vAlign w:val="center"/>
          </w:tcPr>
          <w:p w14:paraId="480EAEE4">
            <w:pPr>
              <w:keepNext w:val="0"/>
              <w:keepLines w:val="0"/>
              <w:pageBreakBefore w:val="0"/>
              <w:widowControl/>
              <w:suppressLineNumbers w:val="0"/>
              <w:kinsoku/>
              <w:wordWrap/>
              <w:overflowPunct/>
              <w:topLinePunct w:val="0"/>
              <w:autoSpaceDE/>
              <w:autoSpaceDN/>
              <w:bidi w:val="0"/>
              <w:adjustRightInd w:val="0"/>
              <w:snapToGrid w:val="0"/>
              <w:ind w:firstLine="400" w:firstLineChars="200"/>
              <w:jc w:val="both"/>
              <w:textAlignment w:val="center"/>
              <w:rPr>
                <w:rFonts w:hint="default" w:ascii="Times New Roman" w:hAnsi="Times New Roman" w:eastAsia="国标仿宋-GB/T 2312" w:cs="Times New Roman"/>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《军人抚恤优待条例》第五十七条 负有军人优待义务的单位不履行优待义务的，由县级以上地方人民政府退役军人工作主管部门责令限期履行义务；逾期仍未履行的，处以2万元以上5万元以下罚款；对直接负责的主管人员和其他直接责任人员，依法给予处分。因不履行优待义务使抚恤优待对象受到损失的，应当依法承担赔偿责任。</w:t>
            </w:r>
          </w:p>
        </w:tc>
        <w:tc>
          <w:tcPr>
            <w:tcW w:w="1109" w:type="dxa"/>
            <w:tcBorders>
              <w:top w:val="single" w:color="auto" w:sz="4" w:space="0"/>
              <w:left w:val="single" w:color="000000" w:sz="4" w:space="0"/>
              <w:bottom w:val="single" w:color="auto" w:sz="4" w:space="0"/>
              <w:right w:val="single" w:color="000000" w:sz="4" w:space="0"/>
            </w:tcBorders>
            <w:vAlign w:val="center"/>
          </w:tcPr>
          <w:p w14:paraId="55FCCC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不予处罚</w:t>
            </w:r>
          </w:p>
        </w:tc>
        <w:tc>
          <w:tcPr>
            <w:tcW w:w="1137" w:type="dxa"/>
            <w:vMerge w:val="restart"/>
            <w:tcBorders>
              <w:top w:val="single" w:color="auto" w:sz="4" w:space="0"/>
              <w:left w:val="single" w:color="000000" w:sz="4" w:space="0"/>
              <w:right w:val="single" w:color="000000" w:sz="4" w:space="0"/>
            </w:tcBorders>
            <w:vAlign w:val="center"/>
          </w:tcPr>
          <w:p w14:paraId="5532AB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罚款</w:t>
            </w:r>
          </w:p>
        </w:tc>
        <w:tc>
          <w:tcPr>
            <w:tcW w:w="4143" w:type="dxa"/>
            <w:tcBorders>
              <w:top w:val="single" w:color="auto" w:sz="4" w:space="0"/>
              <w:left w:val="single" w:color="000000" w:sz="4" w:space="0"/>
              <w:bottom w:val="single" w:color="auto" w:sz="4" w:space="0"/>
              <w:right w:val="single" w:color="000000" w:sz="4" w:space="0"/>
            </w:tcBorders>
            <w:vAlign w:val="center"/>
          </w:tcPr>
          <w:p w14:paraId="767DBB24">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18"/>
                <w:szCs w:val="18"/>
                <w:highlight w:val="none"/>
                <w:u w:val="none"/>
                <w:lang w:val="en-US" w:eastAsia="zh-CN" w:bidi="ar"/>
              </w:rPr>
            </w:pPr>
            <w:r>
              <w:rPr>
                <w:rFonts w:hint="default" w:ascii="Times New Roman" w:hAnsi="Times New Roman" w:eastAsia="国标仿宋-GB/T 2312" w:cs="Times New Roman"/>
                <w:i w:val="0"/>
                <w:color w:val="auto"/>
                <w:spacing w:val="0"/>
                <w:kern w:val="0"/>
                <w:sz w:val="18"/>
                <w:szCs w:val="18"/>
                <w:highlight w:val="none"/>
                <w:u w:val="none"/>
                <w:lang w:val="en-US" w:eastAsia="zh-CN" w:bidi="ar"/>
              </w:rPr>
              <w:t>负有军人优待义务的单位逾期未履行优待义务，经责令限期履行义务后，主动及时整改落实到位，初次违法且未造成危害后果的。</w:t>
            </w:r>
          </w:p>
        </w:tc>
        <w:tc>
          <w:tcPr>
            <w:tcW w:w="1124" w:type="dxa"/>
            <w:tcBorders>
              <w:top w:val="single" w:color="auto" w:sz="4" w:space="0"/>
              <w:left w:val="single" w:color="000000" w:sz="4" w:space="0"/>
              <w:bottom w:val="single" w:color="auto" w:sz="4" w:space="0"/>
              <w:right w:val="single" w:color="000000" w:sz="4" w:space="0"/>
            </w:tcBorders>
            <w:vAlign w:val="center"/>
          </w:tcPr>
          <w:p w14:paraId="1BBBEB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不予处罚</w:t>
            </w:r>
          </w:p>
        </w:tc>
        <w:tc>
          <w:tcPr>
            <w:tcW w:w="908" w:type="dxa"/>
            <w:vMerge w:val="restart"/>
            <w:tcBorders>
              <w:top w:val="single" w:color="auto" w:sz="4" w:space="0"/>
              <w:left w:val="single" w:color="000000" w:sz="4" w:space="0"/>
              <w:right w:val="single" w:color="000000" w:sz="4" w:space="0"/>
            </w:tcBorders>
            <w:vAlign w:val="center"/>
          </w:tcPr>
          <w:p w14:paraId="782456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30日内</w:t>
            </w:r>
          </w:p>
        </w:tc>
      </w:tr>
      <w:tr w14:paraId="2E73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712" w:type="dxa"/>
            <w:vMerge w:val="continue"/>
            <w:tcBorders>
              <w:left w:val="single" w:color="000000" w:sz="4" w:space="0"/>
              <w:bottom w:val="single" w:color="auto" w:sz="4" w:space="0"/>
              <w:right w:val="single" w:color="000000" w:sz="4" w:space="0"/>
            </w:tcBorders>
            <w:vAlign w:val="center"/>
          </w:tcPr>
          <w:p w14:paraId="435DA6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035" w:type="dxa"/>
            <w:vMerge w:val="continue"/>
            <w:tcBorders>
              <w:left w:val="single" w:color="000000" w:sz="4" w:space="0"/>
              <w:bottom w:val="single" w:color="auto" w:sz="4" w:space="0"/>
              <w:right w:val="single" w:color="000000" w:sz="4" w:space="0"/>
            </w:tcBorders>
            <w:vAlign w:val="center"/>
          </w:tcPr>
          <w:p w14:paraId="7802A678">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bottom w:val="single" w:color="auto" w:sz="4" w:space="0"/>
              <w:right w:val="single" w:color="000000" w:sz="4" w:space="0"/>
            </w:tcBorders>
            <w:vAlign w:val="center"/>
          </w:tcPr>
          <w:p w14:paraId="176C2BAB">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109" w:type="dxa"/>
            <w:tcBorders>
              <w:top w:val="single" w:color="auto" w:sz="4" w:space="0"/>
              <w:left w:val="single" w:color="000000" w:sz="4" w:space="0"/>
              <w:bottom w:val="single" w:color="auto" w:sz="4" w:space="0"/>
              <w:right w:val="single" w:color="000000" w:sz="4" w:space="0"/>
            </w:tcBorders>
            <w:vAlign w:val="center"/>
          </w:tcPr>
          <w:p w14:paraId="206736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c>
          <w:tcPr>
            <w:tcW w:w="1137" w:type="dxa"/>
            <w:vMerge w:val="continue"/>
            <w:tcBorders>
              <w:left w:val="single" w:color="000000" w:sz="4" w:space="0"/>
              <w:right w:val="single" w:color="000000" w:sz="4" w:space="0"/>
            </w:tcBorders>
            <w:vAlign w:val="center"/>
          </w:tcPr>
          <w:p w14:paraId="3575D8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4143" w:type="dxa"/>
            <w:tcBorders>
              <w:top w:val="single" w:color="auto" w:sz="4" w:space="0"/>
              <w:left w:val="single" w:color="000000" w:sz="4" w:space="0"/>
              <w:bottom w:val="single" w:color="auto" w:sz="4" w:space="0"/>
              <w:right w:val="single" w:color="000000" w:sz="4" w:space="0"/>
            </w:tcBorders>
            <w:vAlign w:val="center"/>
          </w:tcPr>
          <w:p w14:paraId="2FA8904C">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18"/>
                <w:szCs w:val="18"/>
                <w:highlight w:val="none"/>
                <w:u w:val="none"/>
                <w:lang w:val="en-US" w:eastAsia="zh-CN" w:bidi="ar"/>
              </w:rPr>
            </w:pPr>
            <w:r>
              <w:rPr>
                <w:rFonts w:hint="default" w:ascii="Times New Roman" w:hAnsi="Times New Roman" w:eastAsia="国标仿宋-GB/T 2312" w:cs="Times New Roman"/>
                <w:i w:val="0"/>
                <w:color w:val="auto"/>
                <w:spacing w:val="0"/>
                <w:kern w:val="0"/>
                <w:sz w:val="18"/>
                <w:szCs w:val="18"/>
                <w:highlight w:val="none"/>
                <w:u w:val="none"/>
                <w:lang w:val="en-US" w:eastAsia="zh-CN" w:bidi="ar"/>
              </w:rPr>
              <w:t>负有军人优待义务的单位逾期未履行优待义务，责令限期履行义务而逾期仍未履行，初次违法且造成轻微危害后果的；当事人有证据足以证明其没有主观过错，初次违法且危害后果轻微的。</w:t>
            </w:r>
          </w:p>
        </w:tc>
        <w:tc>
          <w:tcPr>
            <w:tcW w:w="1124" w:type="dxa"/>
            <w:tcBorders>
              <w:top w:val="single" w:color="auto" w:sz="4" w:space="0"/>
              <w:left w:val="single" w:color="000000" w:sz="4" w:space="0"/>
              <w:bottom w:val="single" w:color="auto" w:sz="4" w:space="0"/>
              <w:right w:val="single" w:color="000000" w:sz="4" w:space="0"/>
            </w:tcBorders>
            <w:vAlign w:val="center"/>
          </w:tcPr>
          <w:p w14:paraId="42BF1E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c>
          <w:tcPr>
            <w:tcW w:w="908" w:type="dxa"/>
            <w:vMerge w:val="continue"/>
            <w:tcBorders>
              <w:left w:val="single" w:color="000000" w:sz="4" w:space="0"/>
              <w:bottom w:val="single" w:color="auto" w:sz="4" w:space="0"/>
              <w:right w:val="single" w:color="000000" w:sz="4" w:space="0"/>
            </w:tcBorders>
            <w:vAlign w:val="center"/>
          </w:tcPr>
          <w:p w14:paraId="539BF8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r>
      <w:tr w14:paraId="6207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12" w:type="dxa"/>
            <w:vMerge w:val="continue"/>
            <w:tcBorders>
              <w:left w:val="single" w:color="000000" w:sz="4" w:space="0"/>
              <w:bottom w:val="single" w:color="auto" w:sz="4" w:space="0"/>
              <w:right w:val="single" w:color="000000" w:sz="4" w:space="0"/>
            </w:tcBorders>
            <w:vAlign w:val="center"/>
          </w:tcPr>
          <w:p w14:paraId="6C919D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035" w:type="dxa"/>
            <w:vMerge w:val="continue"/>
            <w:tcBorders>
              <w:left w:val="single" w:color="000000" w:sz="4" w:space="0"/>
              <w:bottom w:val="single" w:color="auto" w:sz="4" w:space="0"/>
              <w:right w:val="single" w:color="000000" w:sz="4" w:space="0"/>
            </w:tcBorders>
            <w:vAlign w:val="center"/>
          </w:tcPr>
          <w:p w14:paraId="66BA974A">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bottom w:val="single" w:color="auto" w:sz="4" w:space="0"/>
              <w:right w:val="single" w:color="000000" w:sz="4" w:space="0"/>
            </w:tcBorders>
            <w:vAlign w:val="center"/>
          </w:tcPr>
          <w:p w14:paraId="3593EDD0">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109" w:type="dxa"/>
            <w:tcBorders>
              <w:top w:val="single" w:color="auto" w:sz="4" w:space="0"/>
              <w:left w:val="single" w:color="000000" w:sz="4" w:space="0"/>
              <w:bottom w:val="single" w:color="auto" w:sz="4" w:space="0"/>
              <w:right w:val="single" w:color="000000" w:sz="4" w:space="0"/>
            </w:tcBorders>
            <w:vAlign w:val="center"/>
          </w:tcPr>
          <w:p w14:paraId="21AAD1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减轻处罚</w:t>
            </w:r>
          </w:p>
        </w:tc>
        <w:tc>
          <w:tcPr>
            <w:tcW w:w="1137" w:type="dxa"/>
            <w:vMerge w:val="continue"/>
            <w:tcBorders>
              <w:left w:val="single" w:color="000000" w:sz="4" w:space="0"/>
              <w:right w:val="single" w:color="000000" w:sz="4" w:space="0"/>
            </w:tcBorders>
            <w:vAlign w:val="center"/>
          </w:tcPr>
          <w:p w14:paraId="30432B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4143" w:type="dxa"/>
            <w:tcBorders>
              <w:top w:val="single" w:color="auto" w:sz="4" w:space="0"/>
              <w:left w:val="single" w:color="000000" w:sz="4" w:space="0"/>
              <w:bottom w:val="single" w:color="auto" w:sz="4" w:space="0"/>
              <w:right w:val="single" w:color="000000" w:sz="4" w:space="0"/>
            </w:tcBorders>
            <w:vAlign w:val="center"/>
          </w:tcPr>
          <w:p w14:paraId="6CABD0C7">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18"/>
                <w:szCs w:val="18"/>
                <w:highlight w:val="none"/>
                <w:u w:val="none"/>
                <w:lang w:val="en-US" w:eastAsia="zh-CN" w:bidi="ar"/>
              </w:rPr>
            </w:pPr>
            <w:r>
              <w:rPr>
                <w:rFonts w:hint="default" w:ascii="Times New Roman" w:hAnsi="Times New Roman" w:eastAsia="国标仿宋-GB/T 2312" w:cs="Times New Roman"/>
                <w:i w:val="0"/>
                <w:color w:val="auto"/>
                <w:spacing w:val="0"/>
                <w:kern w:val="0"/>
                <w:sz w:val="18"/>
                <w:szCs w:val="18"/>
                <w:highlight w:val="none"/>
                <w:u w:val="none"/>
                <w:lang w:val="en-US" w:eastAsia="zh-CN" w:bidi="ar"/>
              </w:rPr>
              <w:t>负有军人优待义务的单位逾期未履行优待义务，但积极配合查处违法行为，认错认罚，造成社会影响较小且主动消除违法行为危害后果的；有其他法定减轻情节的。</w:t>
            </w:r>
          </w:p>
        </w:tc>
        <w:tc>
          <w:tcPr>
            <w:tcW w:w="1124" w:type="dxa"/>
            <w:tcBorders>
              <w:top w:val="single" w:color="auto" w:sz="4" w:space="0"/>
              <w:left w:val="single" w:color="000000" w:sz="4" w:space="0"/>
              <w:bottom w:val="single" w:color="auto" w:sz="4" w:space="0"/>
              <w:right w:val="single" w:color="000000" w:sz="4" w:space="0"/>
            </w:tcBorders>
            <w:vAlign w:val="center"/>
          </w:tcPr>
          <w:p w14:paraId="234612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处以1万元的罚款</w:t>
            </w:r>
          </w:p>
        </w:tc>
        <w:tc>
          <w:tcPr>
            <w:tcW w:w="908" w:type="dxa"/>
            <w:vMerge w:val="continue"/>
            <w:tcBorders>
              <w:left w:val="single" w:color="000000" w:sz="4" w:space="0"/>
              <w:bottom w:val="single" w:color="auto" w:sz="4" w:space="0"/>
              <w:right w:val="single" w:color="000000" w:sz="4" w:space="0"/>
            </w:tcBorders>
            <w:vAlign w:val="center"/>
          </w:tcPr>
          <w:p w14:paraId="0CFD6B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r>
      <w:tr w14:paraId="1B66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12" w:type="dxa"/>
            <w:vMerge w:val="continue"/>
            <w:tcBorders>
              <w:left w:val="single" w:color="000000" w:sz="4" w:space="0"/>
              <w:bottom w:val="single" w:color="auto" w:sz="4" w:space="0"/>
              <w:right w:val="single" w:color="000000" w:sz="4" w:space="0"/>
            </w:tcBorders>
            <w:vAlign w:val="center"/>
          </w:tcPr>
          <w:p w14:paraId="75C4CD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035" w:type="dxa"/>
            <w:vMerge w:val="continue"/>
            <w:tcBorders>
              <w:left w:val="single" w:color="000000" w:sz="4" w:space="0"/>
              <w:bottom w:val="single" w:color="auto" w:sz="4" w:space="0"/>
              <w:right w:val="single" w:color="000000" w:sz="4" w:space="0"/>
            </w:tcBorders>
            <w:vAlign w:val="center"/>
          </w:tcPr>
          <w:p w14:paraId="622E9C7D">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bottom w:val="single" w:color="auto" w:sz="4" w:space="0"/>
              <w:right w:val="single" w:color="auto" w:sz="4" w:space="0"/>
            </w:tcBorders>
            <w:vAlign w:val="center"/>
          </w:tcPr>
          <w:p w14:paraId="47549442">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109" w:type="dxa"/>
            <w:tcBorders>
              <w:top w:val="single" w:color="auto" w:sz="4" w:space="0"/>
              <w:left w:val="single" w:color="auto" w:sz="4" w:space="0"/>
              <w:bottom w:val="single" w:color="auto" w:sz="4" w:space="0"/>
              <w:right w:val="single" w:color="000000" w:sz="4" w:space="0"/>
            </w:tcBorders>
            <w:vAlign w:val="center"/>
          </w:tcPr>
          <w:p w14:paraId="5D805F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从轻处罚</w:t>
            </w:r>
          </w:p>
        </w:tc>
        <w:tc>
          <w:tcPr>
            <w:tcW w:w="1137" w:type="dxa"/>
            <w:vMerge w:val="continue"/>
            <w:tcBorders>
              <w:left w:val="single" w:color="000000" w:sz="4" w:space="0"/>
              <w:bottom w:val="single" w:color="auto" w:sz="4" w:space="0"/>
              <w:right w:val="single" w:color="000000" w:sz="4" w:space="0"/>
            </w:tcBorders>
            <w:vAlign w:val="center"/>
          </w:tcPr>
          <w:p w14:paraId="7EC825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4143" w:type="dxa"/>
            <w:tcBorders>
              <w:top w:val="single" w:color="auto" w:sz="4" w:space="0"/>
              <w:left w:val="single" w:color="000000" w:sz="4" w:space="0"/>
              <w:bottom w:val="single" w:color="auto" w:sz="4" w:space="0"/>
              <w:right w:val="single" w:color="000000" w:sz="4" w:space="0"/>
            </w:tcBorders>
            <w:vAlign w:val="center"/>
          </w:tcPr>
          <w:p w14:paraId="5707FF86">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18"/>
                <w:szCs w:val="18"/>
                <w:highlight w:val="none"/>
                <w:u w:val="none"/>
                <w:lang w:val="en-US" w:eastAsia="zh-CN" w:bidi="ar"/>
              </w:rPr>
            </w:pPr>
            <w:r>
              <w:rPr>
                <w:rFonts w:hint="default" w:ascii="Times New Roman" w:hAnsi="Times New Roman" w:eastAsia="国标仿宋-GB/T 2312" w:cs="Times New Roman"/>
                <w:i w:val="0"/>
                <w:color w:val="auto"/>
                <w:spacing w:val="0"/>
                <w:kern w:val="0"/>
                <w:sz w:val="18"/>
                <w:szCs w:val="18"/>
                <w:highlight w:val="none"/>
                <w:u w:val="none"/>
                <w:lang w:val="en-US" w:eastAsia="zh-CN" w:bidi="ar"/>
              </w:rPr>
              <w:t>负有军人优待义务的单位逾期未履行优待义务，造成社会影响较小或者造成损失额控制在当地上年度就业人员年平均工资额百分之二十以上百分之五十以下</w:t>
            </w:r>
            <w:r>
              <w:rPr>
                <w:rFonts w:hint="default" w:ascii="Times New Roman" w:hAnsi="Times New Roman" w:eastAsia="国标仿宋-GB/T 2312" w:cs="Times New Roman"/>
                <w:color w:val="auto"/>
                <w:spacing w:val="0"/>
                <w:kern w:val="0"/>
                <w:sz w:val="18"/>
                <w:szCs w:val="18"/>
                <w:highlight w:val="none"/>
                <w:u w:val="none"/>
                <w:lang w:bidi="ar"/>
              </w:rPr>
              <w:t>的；主动供述</w:t>
            </w:r>
            <w:r>
              <w:rPr>
                <w:rFonts w:hint="default" w:ascii="Times New Roman" w:hAnsi="Times New Roman" w:eastAsia="国标仿宋-GB/T 2312" w:cs="Times New Roman"/>
                <w:color w:val="auto"/>
                <w:spacing w:val="0"/>
                <w:kern w:val="0"/>
                <w:sz w:val="18"/>
                <w:szCs w:val="18"/>
                <w:highlight w:val="none"/>
                <w:u w:val="none"/>
                <w:lang w:eastAsia="zh-CN" w:bidi="ar"/>
              </w:rPr>
              <w:t>退役军人工作主管部门</w:t>
            </w:r>
            <w:r>
              <w:rPr>
                <w:rFonts w:hint="default" w:ascii="Times New Roman" w:hAnsi="Times New Roman" w:eastAsia="国标仿宋-GB/T 2312" w:cs="Times New Roman"/>
                <w:color w:val="auto"/>
                <w:spacing w:val="0"/>
                <w:kern w:val="0"/>
                <w:sz w:val="18"/>
                <w:szCs w:val="18"/>
                <w:highlight w:val="none"/>
                <w:u w:val="none"/>
                <w:lang w:bidi="ar"/>
              </w:rPr>
              <w:t>尚未掌握的违法行为的；配合</w:t>
            </w:r>
            <w:r>
              <w:rPr>
                <w:rFonts w:hint="default" w:ascii="Times New Roman" w:hAnsi="Times New Roman" w:eastAsia="国标仿宋-GB/T 2312" w:cs="Times New Roman"/>
                <w:color w:val="auto"/>
                <w:spacing w:val="0"/>
                <w:kern w:val="0"/>
                <w:sz w:val="18"/>
                <w:szCs w:val="18"/>
                <w:highlight w:val="none"/>
                <w:u w:val="none"/>
                <w:lang w:eastAsia="zh-CN" w:bidi="ar"/>
              </w:rPr>
              <w:t>退役军人工作主管部门</w:t>
            </w:r>
            <w:r>
              <w:rPr>
                <w:rFonts w:hint="default" w:ascii="Times New Roman" w:hAnsi="Times New Roman" w:eastAsia="国标仿宋-GB/T 2312" w:cs="Times New Roman"/>
                <w:color w:val="auto"/>
                <w:spacing w:val="0"/>
                <w:kern w:val="0"/>
                <w:sz w:val="18"/>
                <w:szCs w:val="18"/>
                <w:highlight w:val="none"/>
                <w:u w:val="none"/>
                <w:lang w:bidi="ar"/>
              </w:rPr>
              <w:t>查处违法行为有立功表现的；</w:t>
            </w:r>
            <w:r>
              <w:rPr>
                <w:rFonts w:hint="default" w:ascii="Times New Roman" w:hAnsi="Times New Roman" w:eastAsia="国标仿宋-GB/T 2312" w:cs="Times New Roman"/>
                <w:i w:val="0"/>
                <w:color w:val="auto"/>
                <w:spacing w:val="0"/>
                <w:kern w:val="0"/>
                <w:sz w:val="18"/>
                <w:szCs w:val="18"/>
                <w:highlight w:val="none"/>
                <w:u w:val="none"/>
                <w:lang w:val="en-US" w:eastAsia="zh-CN" w:bidi="ar"/>
              </w:rPr>
              <w:t>有其他法定从轻情节的。</w:t>
            </w:r>
          </w:p>
        </w:tc>
        <w:tc>
          <w:tcPr>
            <w:tcW w:w="1124" w:type="dxa"/>
            <w:tcBorders>
              <w:top w:val="single" w:color="auto" w:sz="4" w:space="0"/>
              <w:left w:val="single" w:color="000000" w:sz="4" w:space="0"/>
              <w:bottom w:val="single" w:color="auto" w:sz="4" w:space="0"/>
              <w:right w:val="single" w:color="000000" w:sz="4" w:space="0"/>
            </w:tcBorders>
            <w:vAlign w:val="center"/>
          </w:tcPr>
          <w:p w14:paraId="50B42D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处以2万元的罚款</w:t>
            </w:r>
          </w:p>
        </w:tc>
        <w:tc>
          <w:tcPr>
            <w:tcW w:w="908" w:type="dxa"/>
            <w:vMerge w:val="continue"/>
            <w:tcBorders>
              <w:left w:val="single" w:color="000000" w:sz="4" w:space="0"/>
              <w:bottom w:val="single" w:color="auto" w:sz="4" w:space="0"/>
              <w:right w:val="single" w:color="000000" w:sz="4" w:space="0"/>
            </w:tcBorders>
            <w:vAlign w:val="center"/>
          </w:tcPr>
          <w:p w14:paraId="212101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r>
      <w:tr w14:paraId="5BF0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712" w:type="dxa"/>
            <w:vMerge w:val="continue"/>
            <w:tcBorders>
              <w:left w:val="single" w:color="000000" w:sz="4" w:space="0"/>
              <w:bottom w:val="single" w:color="auto" w:sz="4" w:space="0"/>
              <w:right w:val="single" w:color="000000" w:sz="4" w:space="0"/>
            </w:tcBorders>
            <w:vAlign w:val="center"/>
          </w:tcPr>
          <w:p w14:paraId="22649E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035" w:type="dxa"/>
            <w:vMerge w:val="continue"/>
            <w:tcBorders>
              <w:left w:val="single" w:color="000000" w:sz="4" w:space="0"/>
              <w:bottom w:val="single" w:color="auto" w:sz="4" w:space="0"/>
              <w:right w:val="single" w:color="000000" w:sz="4" w:space="0"/>
            </w:tcBorders>
            <w:vAlign w:val="center"/>
          </w:tcPr>
          <w:p w14:paraId="2C02B285">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bottom w:val="single" w:color="auto" w:sz="4" w:space="0"/>
              <w:right w:val="single" w:color="auto" w:sz="4" w:space="0"/>
            </w:tcBorders>
            <w:vAlign w:val="center"/>
          </w:tcPr>
          <w:p w14:paraId="29E0776A">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109" w:type="dxa"/>
            <w:tcBorders>
              <w:top w:val="single" w:color="auto" w:sz="4" w:space="0"/>
              <w:left w:val="single" w:color="auto" w:sz="4" w:space="0"/>
              <w:bottom w:val="single" w:color="auto" w:sz="4" w:space="0"/>
              <w:right w:val="single" w:color="000000" w:sz="4" w:space="0"/>
            </w:tcBorders>
            <w:vAlign w:val="center"/>
          </w:tcPr>
          <w:p w14:paraId="273C3D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一般处罚</w:t>
            </w:r>
          </w:p>
        </w:tc>
        <w:tc>
          <w:tcPr>
            <w:tcW w:w="1137" w:type="dxa"/>
            <w:vMerge w:val="restart"/>
            <w:tcBorders>
              <w:top w:val="single" w:color="auto" w:sz="4" w:space="0"/>
              <w:left w:val="single" w:color="000000" w:sz="4" w:space="0"/>
              <w:right w:val="single" w:color="000000" w:sz="4" w:space="0"/>
            </w:tcBorders>
            <w:vAlign w:val="center"/>
          </w:tcPr>
          <w:p w14:paraId="6B0BF0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罚款</w:t>
            </w:r>
          </w:p>
        </w:tc>
        <w:tc>
          <w:tcPr>
            <w:tcW w:w="4143" w:type="dxa"/>
            <w:tcBorders>
              <w:top w:val="single" w:color="auto" w:sz="4" w:space="0"/>
              <w:left w:val="single" w:color="000000" w:sz="4" w:space="0"/>
              <w:bottom w:val="single" w:color="auto" w:sz="4" w:space="0"/>
              <w:right w:val="single" w:color="000000" w:sz="4" w:space="0"/>
            </w:tcBorders>
            <w:vAlign w:val="center"/>
          </w:tcPr>
          <w:p w14:paraId="617073E1">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18"/>
                <w:szCs w:val="18"/>
                <w:highlight w:val="none"/>
                <w:u w:val="none"/>
                <w:lang w:val="en-US" w:eastAsia="zh-CN" w:bidi="ar"/>
              </w:rPr>
            </w:pPr>
            <w:r>
              <w:rPr>
                <w:rFonts w:hint="default" w:ascii="Times New Roman" w:hAnsi="Times New Roman" w:eastAsia="国标仿宋-GB/T 2312" w:cs="Times New Roman"/>
                <w:i w:val="0"/>
                <w:color w:val="auto"/>
                <w:spacing w:val="0"/>
                <w:kern w:val="0"/>
                <w:sz w:val="18"/>
                <w:szCs w:val="18"/>
                <w:highlight w:val="none"/>
                <w:u w:val="none"/>
                <w:lang w:val="en-US" w:eastAsia="zh-CN" w:bidi="ar"/>
              </w:rPr>
              <w:t>负有军人优待义务的单位逾期未履行优待义务，责令限期履行而逾期仍未履行，社会影响较大或者造成损失额超过当年上年度就业人员年平均工资百分之五十以上、两倍以下。</w:t>
            </w:r>
          </w:p>
        </w:tc>
        <w:tc>
          <w:tcPr>
            <w:tcW w:w="1124" w:type="dxa"/>
            <w:tcBorders>
              <w:top w:val="single" w:color="auto" w:sz="4" w:space="0"/>
              <w:left w:val="single" w:color="000000" w:sz="4" w:space="0"/>
              <w:bottom w:val="single" w:color="auto" w:sz="4" w:space="0"/>
              <w:right w:val="single" w:color="000000" w:sz="4" w:space="0"/>
            </w:tcBorders>
            <w:vAlign w:val="center"/>
          </w:tcPr>
          <w:p w14:paraId="56600F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处以3.5万元的罚款</w:t>
            </w:r>
          </w:p>
        </w:tc>
        <w:tc>
          <w:tcPr>
            <w:tcW w:w="908" w:type="dxa"/>
            <w:vMerge w:val="continue"/>
            <w:tcBorders>
              <w:left w:val="single" w:color="000000" w:sz="4" w:space="0"/>
              <w:bottom w:val="single" w:color="auto" w:sz="4" w:space="0"/>
              <w:right w:val="single" w:color="000000" w:sz="4" w:space="0"/>
            </w:tcBorders>
            <w:vAlign w:val="center"/>
          </w:tcPr>
          <w:p w14:paraId="1429B0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r>
      <w:tr w14:paraId="1CA6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2" w:type="dxa"/>
            <w:vMerge w:val="continue"/>
            <w:tcBorders>
              <w:left w:val="single" w:color="000000" w:sz="4" w:space="0"/>
              <w:bottom w:val="single" w:color="auto" w:sz="4" w:space="0"/>
              <w:right w:val="single" w:color="000000" w:sz="4" w:space="0"/>
            </w:tcBorders>
            <w:vAlign w:val="center"/>
          </w:tcPr>
          <w:p w14:paraId="21F789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035" w:type="dxa"/>
            <w:vMerge w:val="continue"/>
            <w:tcBorders>
              <w:left w:val="single" w:color="000000" w:sz="4" w:space="0"/>
              <w:bottom w:val="single" w:color="auto" w:sz="4" w:space="0"/>
              <w:right w:val="single" w:color="000000" w:sz="4" w:space="0"/>
            </w:tcBorders>
            <w:vAlign w:val="center"/>
          </w:tcPr>
          <w:p w14:paraId="3FBED582">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bottom w:val="single" w:color="auto" w:sz="4" w:space="0"/>
              <w:right w:val="single" w:color="auto" w:sz="4" w:space="0"/>
            </w:tcBorders>
            <w:vAlign w:val="center"/>
          </w:tcPr>
          <w:p w14:paraId="2341DBB7">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109" w:type="dxa"/>
            <w:tcBorders>
              <w:top w:val="single" w:color="auto" w:sz="4" w:space="0"/>
              <w:left w:val="single" w:color="auto" w:sz="4" w:space="0"/>
              <w:bottom w:val="single" w:color="auto" w:sz="4" w:space="0"/>
              <w:right w:val="single" w:color="000000" w:sz="4" w:space="0"/>
            </w:tcBorders>
            <w:vAlign w:val="center"/>
          </w:tcPr>
          <w:p w14:paraId="1BC6C7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从重处罚</w:t>
            </w:r>
          </w:p>
        </w:tc>
        <w:tc>
          <w:tcPr>
            <w:tcW w:w="1137" w:type="dxa"/>
            <w:vMerge w:val="continue"/>
            <w:tcBorders>
              <w:left w:val="single" w:color="000000" w:sz="4" w:space="0"/>
              <w:bottom w:val="single" w:color="auto" w:sz="4" w:space="0"/>
              <w:right w:val="single" w:color="000000" w:sz="4" w:space="0"/>
            </w:tcBorders>
            <w:vAlign w:val="center"/>
          </w:tcPr>
          <w:p w14:paraId="2CA3E1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4143" w:type="dxa"/>
            <w:tcBorders>
              <w:top w:val="single" w:color="auto" w:sz="4" w:space="0"/>
              <w:left w:val="single" w:color="000000" w:sz="4" w:space="0"/>
              <w:bottom w:val="single" w:color="auto" w:sz="4" w:space="0"/>
              <w:right w:val="single" w:color="000000" w:sz="4" w:space="0"/>
            </w:tcBorders>
            <w:vAlign w:val="center"/>
          </w:tcPr>
          <w:p w14:paraId="4B51542F">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18"/>
                <w:szCs w:val="18"/>
                <w:highlight w:val="none"/>
                <w:u w:val="none"/>
                <w:lang w:val="en-US" w:eastAsia="zh-CN" w:bidi="ar"/>
              </w:rPr>
            </w:pPr>
            <w:r>
              <w:rPr>
                <w:rFonts w:hint="default" w:ascii="Times New Roman" w:hAnsi="Times New Roman" w:eastAsia="国标仿宋-GB/T 2312" w:cs="Times New Roman"/>
                <w:i w:val="0"/>
                <w:color w:val="auto"/>
                <w:spacing w:val="0"/>
                <w:kern w:val="0"/>
                <w:sz w:val="18"/>
                <w:szCs w:val="18"/>
                <w:highlight w:val="none"/>
                <w:u w:val="none"/>
                <w:lang w:val="en-US" w:eastAsia="zh-CN" w:bidi="ar"/>
              </w:rPr>
              <w:t>负有军人优待义务的单位逾期未履行优待义务，责令限期履行而逾期仍未履行，社会影响恶劣或者造成损失额超过当年上年度就业人员年平均工资两倍以上的。</w:t>
            </w:r>
          </w:p>
        </w:tc>
        <w:tc>
          <w:tcPr>
            <w:tcW w:w="1124" w:type="dxa"/>
            <w:tcBorders>
              <w:top w:val="single" w:color="auto" w:sz="4" w:space="0"/>
              <w:left w:val="single" w:color="000000" w:sz="4" w:space="0"/>
              <w:bottom w:val="single" w:color="auto" w:sz="4" w:space="0"/>
              <w:right w:val="single" w:color="000000" w:sz="4" w:space="0"/>
            </w:tcBorders>
            <w:vAlign w:val="center"/>
          </w:tcPr>
          <w:p w14:paraId="60F27D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处以5万元的罚款</w:t>
            </w:r>
          </w:p>
        </w:tc>
        <w:tc>
          <w:tcPr>
            <w:tcW w:w="908" w:type="dxa"/>
            <w:vMerge w:val="continue"/>
            <w:tcBorders>
              <w:left w:val="single" w:color="000000" w:sz="4" w:space="0"/>
              <w:bottom w:val="single" w:color="auto" w:sz="4" w:space="0"/>
              <w:right w:val="single" w:color="000000" w:sz="4" w:space="0"/>
            </w:tcBorders>
            <w:vAlign w:val="center"/>
          </w:tcPr>
          <w:p w14:paraId="29250A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r>
      <w:tr w14:paraId="133B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1" w:hRule="atLeast"/>
          <w:jc w:val="center"/>
        </w:trPr>
        <w:tc>
          <w:tcPr>
            <w:tcW w:w="712" w:type="dxa"/>
            <w:vMerge w:val="restart"/>
            <w:tcBorders>
              <w:top w:val="single" w:color="auto" w:sz="4" w:space="0"/>
              <w:left w:val="single" w:color="000000" w:sz="4" w:space="0"/>
              <w:right w:val="single" w:color="000000" w:sz="4" w:space="0"/>
            </w:tcBorders>
            <w:vAlign w:val="center"/>
          </w:tcPr>
          <w:p w14:paraId="3F73FC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16"/>
                <w:szCs w:val="16"/>
                <w:highlight w:val="none"/>
                <w:u w:val="none"/>
                <w:lang w:val="en-US" w:eastAsia="zh-CN" w:bidi="ar"/>
              </w:rPr>
            </w:pPr>
            <w:r>
              <w:rPr>
                <w:rFonts w:hint="default" w:ascii="Times New Roman" w:hAnsi="Times New Roman" w:eastAsia="国标仿宋-GB/T 2312" w:cs="Times New Roman"/>
                <w:i w:val="0"/>
                <w:color w:val="auto"/>
                <w:spacing w:val="0"/>
                <w:kern w:val="0"/>
                <w:sz w:val="16"/>
                <w:szCs w:val="16"/>
                <w:highlight w:val="none"/>
                <w:u w:val="none"/>
                <w:lang w:val="en-US" w:eastAsia="zh-CN" w:bidi="ar"/>
              </w:rPr>
              <w:t>9</w:t>
            </w:r>
          </w:p>
        </w:tc>
        <w:tc>
          <w:tcPr>
            <w:tcW w:w="1035" w:type="dxa"/>
            <w:vMerge w:val="restart"/>
            <w:tcBorders>
              <w:top w:val="single" w:color="auto" w:sz="4" w:space="0"/>
              <w:left w:val="single" w:color="000000" w:sz="4" w:space="0"/>
              <w:right w:val="single" w:color="000000" w:sz="4" w:space="0"/>
            </w:tcBorders>
            <w:vAlign w:val="center"/>
          </w:tcPr>
          <w:p w14:paraId="16736184">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16"/>
                <w:szCs w:val="16"/>
                <w:highlight w:val="none"/>
                <w:u w:val="none"/>
                <w:lang w:val="en-US" w:eastAsia="zh-CN" w:bidi="ar"/>
              </w:rPr>
            </w:pPr>
            <w:r>
              <w:rPr>
                <w:rFonts w:hint="default" w:ascii="Times New Roman" w:hAnsi="Times New Roman" w:eastAsia="国标仿宋-GB/T 2312" w:cs="Times New Roman"/>
                <w:i w:val="0"/>
                <w:color w:val="auto"/>
                <w:spacing w:val="0"/>
                <w:kern w:val="0"/>
                <w:sz w:val="16"/>
                <w:szCs w:val="16"/>
                <w:highlight w:val="none"/>
                <w:u w:val="none"/>
                <w:lang w:val="en-US" w:eastAsia="zh-CN" w:bidi="ar"/>
              </w:rPr>
              <w:t>冒领抚恤金、补助金、优待金</w:t>
            </w:r>
          </w:p>
        </w:tc>
        <w:tc>
          <w:tcPr>
            <w:tcW w:w="3492" w:type="dxa"/>
            <w:vMerge w:val="restart"/>
            <w:tcBorders>
              <w:top w:val="single" w:color="auto" w:sz="4" w:space="0"/>
              <w:left w:val="single" w:color="000000" w:sz="4" w:space="0"/>
              <w:right w:val="single" w:color="000000" w:sz="4" w:space="0"/>
            </w:tcBorders>
            <w:vAlign w:val="center"/>
          </w:tcPr>
          <w:p w14:paraId="219385E6">
            <w:pPr>
              <w:keepNext w:val="0"/>
              <w:keepLines w:val="0"/>
              <w:pageBreakBefore w:val="0"/>
              <w:kinsoku/>
              <w:wordWrap/>
              <w:overflowPunct/>
              <w:topLinePunct w:val="0"/>
              <w:autoSpaceDE/>
              <w:autoSpaceDN/>
              <w:bidi w:val="0"/>
              <w:adjustRightInd w:val="0"/>
              <w:snapToGrid w:val="0"/>
              <w:ind w:firstLine="400" w:firstLineChars="200"/>
              <w:jc w:val="both"/>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《军人抚恤优待条例》第五十八条 抚恤优待对象及其他人员有下列行为之一的，由县级以上地方人民政府退役军人工作主管部门、军队有关部门取消相关待遇、追缴违法所得，并由其所在单位或者有关部门依法给予处分；构成犯罪的，依法追究刑事责任：</w:t>
            </w:r>
          </w:p>
          <w:p w14:paraId="60B4CD7F">
            <w:pPr>
              <w:keepNext w:val="0"/>
              <w:keepLines w:val="0"/>
              <w:pageBreakBefore w:val="0"/>
              <w:kinsoku/>
              <w:wordWrap/>
              <w:overflowPunct/>
              <w:topLinePunct w:val="0"/>
              <w:autoSpaceDE/>
              <w:autoSpaceDN/>
              <w:bidi w:val="0"/>
              <w:adjustRightInd w:val="0"/>
              <w:snapToGrid w:val="0"/>
              <w:ind w:firstLine="400" w:firstLineChars="200"/>
              <w:jc w:val="both"/>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冒领抚恤金、补助金、优待金的；</w:t>
            </w:r>
          </w:p>
          <w:p w14:paraId="56367D91">
            <w:pPr>
              <w:keepNext w:val="0"/>
              <w:keepLines w:val="0"/>
              <w:pageBreakBefore w:val="0"/>
              <w:kinsoku/>
              <w:wordWrap/>
              <w:overflowPunct/>
              <w:topLinePunct w:val="0"/>
              <w:autoSpaceDE/>
              <w:autoSpaceDN/>
              <w:bidi w:val="0"/>
              <w:adjustRightInd w:val="0"/>
              <w:snapToGrid w:val="0"/>
              <w:ind w:firstLine="400" w:firstLineChars="200"/>
              <w:jc w:val="both"/>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《伤残抚恤管理办法》第二十八条 伤残人员以及其他人员有下列行为之一的，由县级以上地方人民政府退役军人主管部门取消相关待遇、追缴违法所得，并由其所在单位或者有关部门依法给予处分；构成犯罪的，依法追究刑事责任。</w:t>
            </w:r>
          </w:p>
          <w:p w14:paraId="6CB9E46A">
            <w:pPr>
              <w:keepNext w:val="0"/>
              <w:keepLines w:val="0"/>
              <w:pageBreakBefore w:val="0"/>
              <w:kinsoku/>
              <w:wordWrap/>
              <w:overflowPunct/>
              <w:topLinePunct w:val="0"/>
              <w:autoSpaceDE/>
              <w:autoSpaceDN/>
              <w:bidi w:val="0"/>
              <w:adjustRightInd w:val="0"/>
              <w:snapToGrid w:val="0"/>
              <w:ind w:firstLine="400" w:firstLineChars="200"/>
              <w:jc w:val="both"/>
              <w:rPr>
                <w:rFonts w:hint="default" w:ascii="Times New Roman" w:hAnsi="Times New Roman" w:eastAsia="国标仿宋-GB/T 2312" w:cs="Times New Roman"/>
                <w:color w:val="auto"/>
                <w:sz w:val="20"/>
                <w:szCs w:val="20"/>
                <w:u w:val="no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（二）冒领抚恤金的；</w:t>
            </w:r>
          </w:p>
        </w:tc>
        <w:tc>
          <w:tcPr>
            <w:tcW w:w="1109" w:type="dxa"/>
            <w:tcBorders>
              <w:top w:val="single" w:color="auto" w:sz="4" w:space="0"/>
              <w:left w:val="single" w:color="000000" w:sz="4" w:space="0"/>
              <w:bottom w:val="single" w:color="auto" w:sz="4" w:space="0"/>
              <w:right w:val="single" w:color="000000" w:sz="4" w:space="0"/>
            </w:tcBorders>
            <w:vAlign w:val="center"/>
          </w:tcPr>
          <w:p w14:paraId="00B2B4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减轻处罚</w:t>
            </w:r>
          </w:p>
        </w:tc>
        <w:tc>
          <w:tcPr>
            <w:tcW w:w="1137" w:type="dxa"/>
            <w:vMerge w:val="restart"/>
            <w:tcBorders>
              <w:top w:val="single" w:color="000000" w:sz="4" w:space="0"/>
              <w:left w:val="single" w:color="000000" w:sz="4" w:space="0"/>
              <w:right w:val="single" w:color="000000" w:sz="4" w:space="0"/>
            </w:tcBorders>
            <w:vAlign w:val="center"/>
          </w:tcPr>
          <w:p w14:paraId="700E16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imes New Roman" w:hAnsi="Times New Roman" w:eastAsia="国标仿宋-GB/T 2312" w:cs="Times New Roman"/>
                <w:i w:val="0"/>
                <w:color w:val="auto"/>
                <w:spacing w:val="0"/>
                <w:kern w:val="0"/>
                <w:sz w:val="20"/>
                <w:szCs w:val="20"/>
                <w:highlight w:val="none"/>
                <w:u w:val="none"/>
                <w:lang w:val="en-US" w:eastAsia="zh-CN" w:bidi="ar"/>
              </w:rPr>
            </w:pPr>
            <w:r>
              <w:rPr>
                <w:rFonts w:hint="eastAsia" w:ascii="Times New Roman" w:hAnsi="Times New Roman" w:eastAsia="国标仿宋-GB/T 2312" w:cs="Times New Roman"/>
                <w:i w:val="0"/>
                <w:color w:val="auto"/>
                <w:spacing w:val="0"/>
                <w:kern w:val="0"/>
                <w:sz w:val="20"/>
                <w:szCs w:val="20"/>
                <w:highlight w:val="none"/>
                <w:u w:val="none"/>
                <w:lang w:val="en-US" w:eastAsia="zh-CN" w:bidi="ar"/>
              </w:rPr>
              <w:t>没收违</w:t>
            </w:r>
          </w:p>
          <w:p w14:paraId="1370A3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eastAsia" w:ascii="Times New Roman" w:hAnsi="Times New Roman" w:eastAsia="国标仿宋-GB/T 2312" w:cs="Times New Roman"/>
                <w:i w:val="0"/>
                <w:color w:val="auto"/>
                <w:spacing w:val="0"/>
                <w:kern w:val="0"/>
                <w:sz w:val="20"/>
                <w:szCs w:val="20"/>
                <w:highlight w:val="none"/>
                <w:u w:val="none"/>
                <w:lang w:val="en-US" w:eastAsia="zh-CN" w:bidi="ar"/>
              </w:rPr>
              <w:t>法所得</w:t>
            </w:r>
          </w:p>
        </w:tc>
        <w:tc>
          <w:tcPr>
            <w:tcW w:w="4143" w:type="dxa"/>
            <w:tcBorders>
              <w:top w:val="single" w:color="000000" w:sz="4" w:space="0"/>
              <w:left w:val="single" w:color="000000" w:sz="4" w:space="0"/>
              <w:bottom w:val="single" w:color="auto" w:sz="4" w:space="0"/>
              <w:right w:val="single" w:color="000000" w:sz="4" w:space="0"/>
            </w:tcBorders>
            <w:vAlign w:val="center"/>
          </w:tcPr>
          <w:p w14:paraId="6BF26485">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当事人违法冒领抚恤金、补助金、优待金金额不足3000元的。</w:t>
            </w:r>
          </w:p>
        </w:tc>
        <w:tc>
          <w:tcPr>
            <w:tcW w:w="1124" w:type="dxa"/>
            <w:tcBorders>
              <w:top w:val="single" w:color="000000" w:sz="4" w:space="0"/>
              <w:left w:val="single" w:color="000000" w:sz="4" w:space="0"/>
              <w:bottom w:val="single" w:color="auto" w:sz="4" w:space="0"/>
              <w:right w:val="single" w:color="000000" w:sz="4" w:space="0"/>
            </w:tcBorders>
            <w:vAlign w:val="center"/>
          </w:tcPr>
          <w:p w14:paraId="312E61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取消相关待遇，追缴违法所得</w:t>
            </w:r>
          </w:p>
        </w:tc>
        <w:tc>
          <w:tcPr>
            <w:tcW w:w="908" w:type="dxa"/>
            <w:vMerge w:val="restart"/>
            <w:tcBorders>
              <w:top w:val="single" w:color="auto" w:sz="4" w:space="0"/>
              <w:left w:val="single" w:color="000000" w:sz="4" w:space="0"/>
              <w:right w:val="single" w:color="000000" w:sz="4" w:space="0"/>
            </w:tcBorders>
            <w:vAlign w:val="center"/>
          </w:tcPr>
          <w:p w14:paraId="669F1C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16"/>
                <w:szCs w:val="16"/>
                <w:highlight w:val="none"/>
                <w:u w:val="none"/>
                <w:lang w:val="en-US" w:eastAsia="zh-CN" w:bidi="ar"/>
              </w:rPr>
            </w:pPr>
            <w:r>
              <w:rPr>
                <w:rFonts w:hint="eastAsia" w:ascii="Times New Roman" w:hAnsi="Times New Roman" w:eastAsia="国标仿宋-GB/T 2312" w:cs="Times New Roman"/>
                <w:i w:val="0"/>
                <w:color w:val="auto"/>
                <w:spacing w:val="0"/>
                <w:kern w:val="0"/>
                <w:sz w:val="20"/>
                <w:szCs w:val="20"/>
                <w:highlight w:val="none"/>
                <w:u w:val="none"/>
                <w:lang w:val="en-US" w:eastAsia="zh-CN" w:bidi="ar"/>
              </w:rPr>
              <w:t>适用条件中到达3000元以上的包含3000元</w:t>
            </w:r>
          </w:p>
        </w:tc>
      </w:tr>
      <w:tr w14:paraId="20ED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2" w:type="dxa"/>
            <w:vMerge w:val="continue"/>
            <w:tcBorders>
              <w:left w:val="single" w:color="000000" w:sz="4" w:space="0"/>
              <w:bottom w:val="single" w:color="auto" w:sz="4" w:space="0"/>
              <w:right w:val="single" w:color="000000" w:sz="4" w:space="0"/>
            </w:tcBorders>
            <w:vAlign w:val="center"/>
          </w:tcPr>
          <w:p w14:paraId="1BA8A4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16"/>
                <w:szCs w:val="16"/>
                <w:highlight w:val="none"/>
                <w:u w:val="none"/>
                <w:lang w:val="en-US" w:eastAsia="zh-CN" w:bidi="ar"/>
              </w:rPr>
            </w:pPr>
          </w:p>
        </w:tc>
        <w:tc>
          <w:tcPr>
            <w:tcW w:w="1035" w:type="dxa"/>
            <w:vMerge w:val="continue"/>
            <w:tcBorders>
              <w:left w:val="single" w:color="000000" w:sz="4" w:space="0"/>
              <w:bottom w:val="single" w:color="auto" w:sz="4" w:space="0"/>
              <w:right w:val="single" w:color="000000" w:sz="4" w:space="0"/>
            </w:tcBorders>
            <w:vAlign w:val="center"/>
          </w:tcPr>
          <w:p w14:paraId="791A6DB2">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16"/>
                <w:szCs w:val="16"/>
                <w:highlight w:val="none"/>
                <w:u w:val="none"/>
                <w:lang w:val="en-US" w:eastAsia="zh-CN" w:bidi="ar"/>
              </w:rPr>
            </w:pPr>
          </w:p>
        </w:tc>
        <w:tc>
          <w:tcPr>
            <w:tcW w:w="3492" w:type="dxa"/>
            <w:vMerge w:val="continue"/>
            <w:tcBorders>
              <w:left w:val="single" w:color="000000" w:sz="4" w:space="0"/>
              <w:bottom w:val="single" w:color="auto" w:sz="4" w:space="0"/>
              <w:right w:val="single" w:color="000000" w:sz="4" w:space="0"/>
            </w:tcBorders>
            <w:vAlign w:val="center"/>
          </w:tcPr>
          <w:p w14:paraId="0FA0DB54">
            <w:pPr>
              <w:keepNext w:val="0"/>
              <w:keepLines w:val="0"/>
              <w:pageBreakBefore w:val="0"/>
              <w:kinsoku/>
              <w:wordWrap/>
              <w:overflowPunct/>
              <w:topLinePunct w:val="0"/>
              <w:autoSpaceDE/>
              <w:autoSpaceDN/>
              <w:bidi w:val="0"/>
              <w:adjustRightInd w:val="0"/>
              <w:snapToGrid w:val="0"/>
              <w:ind w:firstLine="400" w:firstLineChars="200"/>
              <w:jc w:val="both"/>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109" w:type="dxa"/>
            <w:tcBorders>
              <w:top w:val="single" w:color="auto" w:sz="4" w:space="0"/>
              <w:left w:val="single" w:color="000000" w:sz="4" w:space="0"/>
              <w:bottom w:val="single" w:color="auto" w:sz="4" w:space="0"/>
              <w:right w:val="single" w:color="000000" w:sz="4" w:space="0"/>
            </w:tcBorders>
            <w:vAlign w:val="center"/>
          </w:tcPr>
          <w:p w14:paraId="4B2CDC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一般处罚</w:t>
            </w:r>
          </w:p>
        </w:tc>
        <w:tc>
          <w:tcPr>
            <w:tcW w:w="1137" w:type="dxa"/>
            <w:vMerge w:val="continue"/>
            <w:tcBorders>
              <w:left w:val="single" w:color="000000" w:sz="4" w:space="0"/>
              <w:bottom w:val="single" w:color="auto" w:sz="4" w:space="0"/>
              <w:right w:val="single" w:color="000000" w:sz="4" w:space="0"/>
            </w:tcBorders>
            <w:vAlign w:val="center"/>
          </w:tcPr>
          <w:p w14:paraId="73D4CE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4143" w:type="dxa"/>
            <w:tcBorders>
              <w:top w:val="single" w:color="auto" w:sz="4" w:space="0"/>
              <w:left w:val="single" w:color="000000" w:sz="4" w:space="0"/>
              <w:bottom w:val="single" w:color="auto" w:sz="4" w:space="0"/>
              <w:right w:val="single" w:color="000000" w:sz="4" w:space="0"/>
            </w:tcBorders>
            <w:vAlign w:val="center"/>
          </w:tcPr>
          <w:p w14:paraId="1E5D9EF9">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当事人违法冒领抚恤金、补助金、优待金的，金额达到3000元以上。</w:t>
            </w:r>
          </w:p>
        </w:tc>
        <w:tc>
          <w:tcPr>
            <w:tcW w:w="1124" w:type="dxa"/>
            <w:tcBorders>
              <w:top w:val="single" w:color="auto" w:sz="4" w:space="0"/>
              <w:left w:val="single" w:color="000000" w:sz="4" w:space="0"/>
              <w:bottom w:val="single" w:color="auto" w:sz="4" w:space="0"/>
              <w:right w:val="single" w:color="000000" w:sz="4" w:space="0"/>
            </w:tcBorders>
            <w:vAlign w:val="center"/>
          </w:tcPr>
          <w:p w14:paraId="307808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取消相关待遇，追缴违法所得，移交</w:t>
            </w:r>
            <w:r>
              <w:rPr>
                <w:rFonts w:hint="eastAsia" w:ascii="Times New Roman" w:hAnsi="Times New Roman" w:eastAsia="国标仿宋-GB/T 2312" w:cs="Times New Roman"/>
                <w:i w:val="0"/>
                <w:color w:val="auto"/>
                <w:spacing w:val="0"/>
                <w:kern w:val="0"/>
                <w:sz w:val="20"/>
                <w:szCs w:val="20"/>
                <w:highlight w:val="none"/>
                <w:u w:val="none"/>
                <w:lang w:val="en-US" w:eastAsia="zh-CN" w:bidi="ar"/>
              </w:rPr>
              <w:t>有关</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机关</w:t>
            </w:r>
            <w:r>
              <w:rPr>
                <w:rFonts w:hint="eastAsia" w:ascii="Times New Roman" w:hAnsi="Times New Roman" w:eastAsia="国标仿宋-GB/T 2312" w:cs="Times New Roman"/>
                <w:i w:val="0"/>
                <w:color w:val="auto"/>
                <w:spacing w:val="0"/>
                <w:kern w:val="0"/>
                <w:sz w:val="20"/>
                <w:szCs w:val="20"/>
                <w:highlight w:val="none"/>
                <w:u w:val="none"/>
                <w:lang w:val="en-US" w:eastAsia="zh-CN" w:bidi="ar"/>
              </w:rPr>
              <w:t>追究刑事责任。</w:t>
            </w:r>
          </w:p>
        </w:tc>
        <w:tc>
          <w:tcPr>
            <w:tcW w:w="908" w:type="dxa"/>
            <w:vMerge w:val="continue"/>
            <w:tcBorders>
              <w:left w:val="single" w:color="000000" w:sz="4" w:space="0"/>
              <w:bottom w:val="single" w:color="000000" w:sz="4" w:space="0"/>
              <w:right w:val="single" w:color="000000" w:sz="4" w:space="0"/>
            </w:tcBorders>
            <w:vAlign w:val="center"/>
          </w:tcPr>
          <w:p w14:paraId="05ABC0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16"/>
                <w:szCs w:val="16"/>
                <w:highlight w:val="none"/>
                <w:u w:val="none"/>
                <w:lang w:val="en-US" w:eastAsia="zh-CN" w:bidi="ar"/>
              </w:rPr>
            </w:pPr>
          </w:p>
        </w:tc>
      </w:tr>
      <w:tr w14:paraId="72B8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4" w:hRule="atLeast"/>
          <w:jc w:val="center"/>
        </w:trPr>
        <w:tc>
          <w:tcPr>
            <w:tcW w:w="712" w:type="dxa"/>
            <w:vMerge w:val="restart"/>
            <w:tcBorders>
              <w:top w:val="single" w:color="auto" w:sz="4" w:space="0"/>
              <w:left w:val="single" w:color="000000" w:sz="4" w:space="0"/>
              <w:right w:val="single" w:color="000000" w:sz="4" w:space="0"/>
            </w:tcBorders>
            <w:vAlign w:val="center"/>
          </w:tcPr>
          <w:p w14:paraId="2728634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国标仿宋-GB/T 2312" w:cs="Times New Roman"/>
                <w:i w:val="0"/>
                <w:color w:val="auto"/>
                <w:spacing w:val="0"/>
                <w:sz w:val="20"/>
                <w:szCs w:val="20"/>
                <w:highlight w:val="none"/>
                <w:u w:val="none"/>
                <w:lang w:val="en-US" w:eastAsia="zh-CN"/>
              </w:rPr>
            </w:pPr>
            <w:r>
              <w:rPr>
                <w:rFonts w:hint="default" w:ascii="Times New Roman" w:hAnsi="Times New Roman" w:eastAsia="国标仿宋-GB/T 2312" w:cs="Times New Roman"/>
                <w:i w:val="0"/>
                <w:color w:val="auto"/>
                <w:spacing w:val="0"/>
                <w:sz w:val="20"/>
                <w:szCs w:val="20"/>
                <w:highlight w:val="none"/>
                <w:u w:val="none"/>
                <w:lang w:val="en-US" w:eastAsia="zh-CN"/>
              </w:rPr>
              <w:t>10</w:t>
            </w:r>
          </w:p>
        </w:tc>
        <w:tc>
          <w:tcPr>
            <w:tcW w:w="1035" w:type="dxa"/>
            <w:vMerge w:val="restart"/>
            <w:tcBorders>
              <w:top w:val="single" w:color="auto" w:sz="4" w:space="0"/>
              <w:left w:val="single" w:color="000000" w:sz="4" w:space="0"/>
              <w:right w:val="single" w:color="000000" w:sz="4" w:space="0"/>
            </w:tcBorders>
            <w:vAlign w:val="center"/>
          </w:tcPr>
          <w:p w14:paraId="5F0483E0">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sz w:val="20"/>
                <w:szCs w:val="20"/>
                <w:highlight w:val="none"/>
                <w:u w:val="none"/>
                <w:lang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伪造残情、伤情、病情骗取医药费等费用或者相关抚恤优待待遇</w:t>
            </w:r>
          </w:p>
        </w:tc>
        <w:tc>
          <w:tcPr>
            <w:tcW w:w="3492" w:type="dxa"/>
            <w:vMerge w:val="restart"/>
            <w:tcBorders>
              <w:top w:val="single" w:color="auto" w:sz="4" w:space="0"/>
              <w:left w:val="single" w:color="000000" w:sz="4" w:space="0"/>
              <w:right w:val="single" w:color="000000" w:sz="4" w:space="0"/>
            </w:tcBorders>
            <w:vAlign w:val="center"/>
          </w:tcPr>
          <w:p w14:paraId="25C46286">
            <w:pPr>
              <w:keepNext w:val="0"/>
              <w:keepLines w:val="0"/>
              <w:pageBreakBefore w:val="0"/>
              <w:kinsoku/>
              <w:wordWrap/>
              <w:overflowPunct/>
              <w:topLinePunct w:val="0"/>
              <w:autoSpaceDE/>
              <w:autoSpaceDN/>
              <w:bidi w:val="0"/>
              <w:adjustRightInd w:val="0"/>
              <w:snapToGrid w:val="0"/>
              <w:ind w:firstLine="400" w:firstLineChars="200"/>
              <w:jc w:val="both"/>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《军人抚恤优待条例》第五十八条 抚恤优待对象及其他人员有下列行为之一的，由县级以上地方人民政府退役军人工作主管部门、军队有关部门取消相关待遇、追缴违法所得，并由其所在单位或者有关部门依法给予处分；构成犯罪的，依法追究刑事责任：</w:t>
            </w:r>
          </w:p>
          <w:p w14:paraId="45E00965">
            <w:pPr>
              <w:keepNext w:val="0"/>
              <w:keepLines w:val="0"/>
              <w:pageBreakBefore w:val="0"/>
              <w:kinsoku/>
              <w:wordWrap/>
              <w:overflowPunct/>
              <w:topLinePunct w:val="0"/>
              <w:autoSpaceDE/>
              <w:autoSpaceDN/>
              <w:bidi w:val="0"/>
              <w:adjustRightInd w:val="0"/>
              <w:snapToGrid w:val="0"/>
              <w:ind w:firstLine="400" w:firstLineChars="200"/>
              <w:jc w:val="both"/>
              <w:rPr>
                <w:rFonts w:hint="default" w:ascii="Times New Roman" w:hAnsi="Times New Roman" w:eastAsia="国标仿宋-GB/T 2312" w:cs="Times New Roman"/>
                <w:color w:val="auto"/>
                <w:sz w:val="20"/>
                <w:szCs w:val="20"/>
                <w:u w:val="no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（二）伪造残情、伤情、病情骗取医药费等费用或者相关抚恤优待待遇的；</w:t>
            </w:r>
          </w:p>
          <w:p w14:paraId="60341B96">
            <w:pPr>
              <w:keepNext w:val="0"/>
              <w:keepLines w:val="0"/>
              <w:pageBreakBefore w:val="0"/>
              <w:kinsoku/>
              <w:wordWrap/>
              <w:overflowPunct/>
              <w:topLinePunct w:val="0"/>
              <w:autoSpaceDE/>
              <w:autoSpaceDN/>
              <w:bidi w:val="0"/>
              <w:adjustRightInd w:val="0"/>
              <w:snapToGrid w:val="0"/>
              <w:ind w:firstLine="400" w:firstLineChars="200"/>
              <w:jc w:val="both"/>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《伤残抚恤管理办法》第二十八条 伤残人员以及其他人员有下列行为之一的，由县级以上地方人民政府退役军人主管部门取消相关待遇、追缴违法所得，并由其所在单位或者有关部门依法给予处分；构成犯罪的，依法追究刑事责任。</w:t>
            </w:r>
          </w:p>
          <w:p w14:paraId="026C6083">
            <w:pPr>
              <w:pStyle w:val="17"/>
              <w:numPr>
                <w:ilvl w:val="0"/>
                <w:numId w:val="0"/>
              </w:numPr>
              <w:ind w:leftChars="200"/>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（一）伪造残情的；</w:t>
            </w:r>
          </w:p>
          <w:p w14:paraId="31805780">
            <w:pPr>
              <w:pStyle w:val="17"/>
              <w:numPr>
                <w:ilvl w:val="0"/>
                <w:numId w:val="0"/>
              </w:numPr>
              <w:ind w:leftChars="200"/>
              <w:rPr>
                <w:rFonts w:hint="default" w:ascii="Times New Roman" w:hAnsi="Times New Roman" w:eastAsia="国标仿宋-GB/T 2312" w:cs="Times New Roman"/>
                <w:color w:val="auto"/>
                <w:sz w:val="20"/>
                <w:szCs w:val="20"/>
                <w:u w:val="no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（三）骗取医药费等费用的；</w:t>
            </w:r>
          </w:p>
        </w:tc>
        <w:tc>
          <w:tcPr>
            <w:tcW w:w="1109" w:type="dxa"/>
            <w:tcBorders>
              <w:top w:val="single" w:color="auto" w:sz="4" w:space="0"/>
              <w:left w:val="single" w:color="000000" w:sz="4" w:space="0"/>
              <w:bottom w:val="single" w:color="auto" w:sz="4" w:space="0"/>
              <w:right w:val="single" w:color="000000" w:sz="4" w:space="0"/>
            </w:tcBorders>
            <w:vAlign w:val="center"/>
          </w:tcPr>
          <w:p w14:paraId="2C6B60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减轻处罚</w:t>
            </w:r>
          </w:p>
        </w:tc>
        <w:tc>
          <w:tcPr>
            <w:tcW w:w="1137" w:type="dxa"/>
            <w:tcBorders>
              <w:top w:val="single" w:color="auto" w:sz="4" w:space="0"/>
              <w:left w:val="single" w:color="000000" w:sz="4" w:space="0"/>
              <w:bottom w:val="single" w:color="auto" w:sz="4" w:space="0"/>
              <w:right w:val="single" w:color="000000" w:sz="4" w:space="0"/>
            </w:tcBorders>
            <w:vAlign w:val="center"/>
          </w:tcPr>
          <w:p w14:paraId="1A8FD3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取消相关待遇，追缴违法所得</w:t>
            </w:r>
          </w:p>
        </w:tc>
        <w:tc>
          <w:tcPr>
            <w:tcW w:w="4143" w:type="dxa"/>
            <w:tcBorders>
              <w:top w:val="single" w:color="auto" w:sz="4" w:space="0"/>
              <w:left w:val="single" w:color="000000" w:sz="4" w:space="0"/>
              <w:bottom w:val="single" w:color="auto" w:sz="4" w:space="0"/>
              <w:right w:val="single" w:color="000000" w:sz="4" w:space="0"/>
            </w:tcBorders>
            <w:vAlign w:val="center"/>
          </w:tcPr>
          <w:p w14:paraId="2DD5CEBC">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当事人伪造残情、伤情、病情骗取医药费等费用或者相关抚恤优待待遇的，金额不足3000元的。</w:t>
            </w:r>
          </w:p>
        </w:tc>
        <w:tc>
          <w:tcPr>
            <w:tcW w:w="1124" w:type="dxa"/>
            <w:tcBorders>
              <w:top w:val="single" w:color="auto" w:sz="4" w:space="0"/>
              <w:left w:val="single" w:color="000000" w:sz="4" w:space="0"/>
              <w:bottom w:val="single" w:color="auto" w:sz="4" w:space="0"/>
              <w:right w:val="single" w:color="000000" w:sz="4" w:space="0"/>
            </w:tcBorders>
            <w:vAlign w:val="center"/>
          </w:tcPr>
          <w:p w14:paraId="176D56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sz w:val="20"/>
                <w:szCs w:val="20"/>
                <w:highlight w:val="none"/>
                <w:u w:val="none"/>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取消相关待遇，追缴违法所得</w:t>
            </w:r>
          </w:p>
        </w:tc>
        <w:tc>
          <w:tcPr>
            <w:tcW w:w="908" w:type="dxa"/>
            <w:vMerge w:val="restart"/>
            <w:tcBorders>
              <w:top w:val="single" w:color="000000" w:sz="4" w:space="0"/>
              <w:left w:val="single" w:color="000000" w:sz="4" w:space="0"/>
              <w:right w:val="single" w:color="000000" w:sz="4" w:space="0"/>
            </w:tcBorders>
            <w:vAlign w:val="center"/>
          </w:tcPr>
          <w:p w14:paraId="371FF003">
            <w:pPr>
              <w:keepNext w:val="0"/>
              <w:keepLines w:val="0"/>
              <w:pageBreakBefore w:val="0"/>
              <w:kinsoku/>
              <w:wordWrap/>
              <w:overflowPunct/>
              <w:topLinePunct w:val="0"/>
              <w:autoSpaceDE/>
              <w:autoSpaceDN/>
              <w:bidi w:val="0"/>
              <w:adjustRightInd w:val="0"/>
              <w:snapToGrid w:val="0"/>
              <w:jc w:val="both"/>
              <w:rPr>
                <w:rFonts w:hint="eastAsia" w:ascii="Times New Roman" w:hAnsi="Times New Roman" w:eastAsia="国标仿宋-GB/T 2312" w:cs="Times New Roman"/>
                <w:i w:val="0"/>
                <w:color w:val="auto"/>
                <w:spacing w:val="0"/>
                <w:sz w:val="20"/>
                <w:szCs w:val="20"/>
                <w:highlight w:val="none"/>
                <w:u w:val="none"/>
                <w:lang w:eastAsia="zh-CN"/>
              </w:rPr>
            </w:pPr>
            <w:r>
              <w:rPr>
                <w:rFonts w:hint="eastAsia" w:ascii="Times New Roman" w:hAnsi="Times New Roman" w:eastAsia="国标仿宋-GB/T 2312" w:cs="Times New Roman"/>
                <w:i w:val="0"/>
                <w:color w:val="auto"/>
                <w:spacing w:val="0"/>
                <w:kern w:val="0"/>
                <w:sz w:val="20"/>
                <w:szCs w:val="20"/>
                <w:highlight w:val="none"/>
                <w:u w:val="none"/>
                <w:lang w:val="en-US" w:eastAsia="zh-CN" w:bidi="ar"/>
              </w:rPr>
              <w:t>适用条件中到达3000元以上的包含3000元</w:t>
            </w:r>
          </w:p>
        </w:tc>
      </w:tr>
      <w:tr w14:paraId="04F7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3" w:hRule="atLeast"/>
          <w:jc w:val="center"/>
        </w:trPr>
        <w:tc>
          <w:tcPr>
            <w:tcW w:w="712" w:type="dxa"/>
            <w:vMerge w:val="continue"/>
            <w:tcBorders>
              <w:left w:val="single" w:color="000000" w:sz="4" w:space="0"/>
              <w:bottom w:val="single" w:color="auto" w:sz="4" w:space="0"/>
              <w:right w:val="single" w:color="000000" w:sz="4" w:space="0"/>
            </w:tcBorders>
            <w:vAlign w:val="center"/>
          </w:tcPr>
          <w:p w14:paraId="726B8070">
            <w:pPr>
              <w:keepNext w:val="0"/>
              <w:keepLines w:val="0"/>
              <w:pageBreakBefore w:val="0"/>
              <w:kinsoku/>
              <w:wordWrap/>
              <w:overflowPunct/>
              <w:topLinePunct w:val="0"/>
              <w:autoSpaceDE/>
              <w:autoSpaceDN/>
              <w:bidi w:val="0"/>
              <w:adjustRightInd w:val="0"/>
              <w:snapToGrid w:val="0"/>
              <w:jc w:val="both"/>
              <w:rPr>
                <w:rFonts w:hint="default" w:ascii="Times New Roman" w:hAnsi="Times New Roman" w:eastAsia="国标仿宋-GB/T 2312" w:cs="Times New Roman"/>
                <w:i w:val="0"/>
                <w:color w:val="auto"/>
                <w:spacing w:val="0"/>
                <w:sz w:val="20"/>
                <w:szCs w:val="20"/>
                <w:highlight w:val="none"/>
                <w:u w:val="none"/>
                <w:lang w:val="en-US" w:eastAsia="zh-CN"/>
              </w:rPr>
            </w:pPr>
          </w:p>
        </w:tc>
        <w:tc>
          <w:tcPr>
            <w:tcW w:w="1035" w:type="dxa"/>
            <w:vMerge w:val="continue"/>
            <w:tcBorders>
              <w:left w:val="single" w:color="000000" w:sz="4" w:space="0"/>
              <w:bottom w:val="single" w:color="auto" w:sz="4" w:space="0"/>
              <w:right w:val="single" w:color="000000" w:sz="4" w:space="0"/>
            </w:tcBorders>
            <w:vAlign w:val="center"/>
          </w:tcPr>
          <w:p w14:paraId="3DC15643">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bottom w:val="single" w:color="auto" w:sz="4" w:space="0"/>
              <w:right w:val="single" w:color="000000" w:sz="4" w:space="0"/>
            </w:tcBorders>
            <w:vAlign w:val="center"/>
          </w:tcPr>
          <w:p w14:paraId="365455E2">
            <w:pPr>
              <w:pStyle w:val="17"/>
              <w:numPr>
                <w:ilvl w:val="0"/>
                <w:numId w:val="0"/>
              </w:numPr>
              <w:ind w:leftChars="200"/>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109" w:type="dxa"/>
            <w:tcBorders>
              <w:top w:val="single" w:color="auto" w:sz="4" w:space="0"/>
              <w:left w:val="single" w:color="000000" w:sz="4" w:space="0"/>
              <w:bottom w:val="single" w:color="auto" w:sz="4" w:space="0"/>
              <w:right w:val="single" w:color="000000" w:sz="4" w:space="0"/>
            </w:tcBorders>
            <w:vAlign w:val="center"/>
          </w:tcPr>
          <w:p w14:paraId="1C662D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一般处罚</w:t>
            </w:r>
          </w:p>
        </w:tc>
        <w:tc>
          <w:tcPr>
            <w:tcW w:w="1137" w:type="dxa"/>
            <w:tcBorders>
              <w:top w:val="single" w:color="auto" w:sz="4" w:space="0"/>
              <w:left w:val="single" w:color="000000" w:sz="4" w:space="0"/>
              <w:bottom w:val="single" w:color="auto" w:sz="4" w:space="0"/>
              <w:right w:val="single" w:color="000000" w:sz="4" w:space="0"/>
            </w:tcBorders>
            <w:vAlign w:val="center"/>
          </w:tcPr>
          <w:p w14:paraId="649F3D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取消相关待遇，追缴违法所得</w:t>
            </w:r>
          </w:p>
        </w:tc>
        <w:tc>
          <w:tcPr>
            <w:tcW w:w="4143" w:type="dxa"/>
            <w:tcBorders>
              <w:top w:val="single" w:color="auto" w:sz="4" w:space="0"/>
              <w:left w:val="single" w:color="000000" w:sz="4" w:space="0"/>
              <w:bottom w:val="single" w:color="auto" w:sz="4" w:space="0"/>
              <w:right w:val="single" w:color="000000" w:sz="4" w:space="0"/>
            </w:tcBorders>
            <w:vAlign w:val="center"/>
          </w:tcPr>
          <w:p w14:paraId="1CB95D77">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当事人伪造残情、伤情、病情骗取医药费等费用或者相关抚恤优待待遇的，金额达到3000元以上</w:t>
            </w:r>
          </w:p>
        </w:tc>
        <w:tc>
          <w:tcPr>
            <w:tcW w:w="1124" w:type="dxa"/>
            <w:tcBorders>
              <w:top w:val="single" w:color="auto" w:sz="4" w:space="0"/>
              <w:left w:val="single" w:color="000000" w:sz="4" w:space="0"/>
              <w:bottom w:val="single" w:color="auto" w:sz="4" w:space="0"/>
              <w:right w:val="single" w:color="000000" w:sz="4" w:space="0"/>
            </w:tcBorders>
            <w:vAlign w:val="center"/>
          </w:tcPr>
          <w:p w14:paraId="6DFA98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2"/>
                <w:sz w:val="20"/>
                <w:szCs w:val="20"/>
                <w:highlight w:val="none"/>
                <w:u w:val="none"/>
                <w:lang w:val="en-US" w:eastAsia="zh-CN" w:bidi="ar-SA"/>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取消相关待遇，追缴违法所得</w:t>
            </w:r>
            <w:r>
              <w:rPr>
                <w:rFonts w:hint="eastAsia" w:ascii="Times New Roman" w:hAnsi="Times New Roman" w:eastAsia="国标仿宋-GB/T 2312" w:cs="Times New Roman"/>
                <w:i w:val="0"/>
                <w:color w:val="auto"/>
                <w:spacing w:val="0"/>
                <w:kern w:val="0"/>
                <w:sz w:val="20"/>
                <w:szCs w:val="20"/>
                <w:highlight w:val="none"/>
                <w:u w:val="none"/>
                <w:lang w:val="en-US" w:eastAsia="zh-CN" w:bidi="ar"/>
              </w:rPr>
              <w:t>，移送有关机关追究刑事责任。</w:t>
            </w:r>
          </w:p>
        </w:tc>
        <w:tc>
          <w:tcPr>
            <w:tcW w:w="908" w:type="dxa"/>
            <w:vMerge w:val="continue"/>
            <w:tcBorders>
              <w:left w:val="single" w:color="000000" w:sz="4" w:space="0"/>
              <w:bottom w:val="single" w:color="auto" w:sz="4" w:space="0"/>
              <w:right w:val="single" w:color="000000" w:sz="4" w:space="0"/>
            </w:tcBorders>
            <w:vAlign w:val="center"/>
          </w:tcPr>
          <w:p w14:paraId="392838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2"/>
                <w:sz w:val="20"/>
                <w:szCs w:val="20"/>
                <w:highlight w:val="none"/>
                <w:u w:val="none"/>
                <w:lang w:val="en-US" w:eastAsia="zh-CN" w:bidi="ar-SA"/>
              </w:rPr>
            </w:pPr>
          </w:p>
        </w:tc>
      </w:tr>
      <w:tr w14:paraId="1D8E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jc w:val="center"/>
        </w:trPr>
        <w:tc>
          <w:tcPr>
            <w:tcW w:w="712" w:type="dxa"/>
            <w:vMerge w:val="restart"/>
            <w:tcBorders>
              <w:top w:val="single" w:color="auto" w:sz="4" w:space="0"/>
              <w:left w:val="single" w:color="000000" w:sz="4" w:space="0"/>
              <w:right w:val="single" w:color="000000" w:sz="4" w:space="0"/>
            </w:tcBorders>
            <w:vAlign w:val="center"/>
          </w:tcPr>
          <w:p w14:paraId="2F16A49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国标仿宋-GB/T 2312" w:cs="Times New Roman"/>
                <w:i w:val="0"/>
                <w:color w:val="auto"/>
                <w:spacing w:val="0"/>
                <w:sz w:val="20"/>
                <w:szCs w:val="20"/>
                <w:highlight w:val="none"/>
                <w:u w:val="none"/>
                <w:lang w:val="en-US" w:eastAsia="zh-CN"/>
              </w:rPr>
            </w:pPr>
            <w:r>
              <w:rPr>
                <w:rFonts w:hint="default" w:ascii="Times New Roman" w:hAnsi="Times New Roman" w:eastAsia="国标仿宋-GB/T 2312" w:cs="Times New Roman"/>
                <w:i w:val="0"/>
                <w:color w:val="auto"/>
                <w:spacing w:val="0"/>
                <w:sz w:val="20"/>
                <w:szCs w:val="20"/>
                <w:highlight w:val="none"/>
                <w:u w:val="none"/>
                <w:lang w:val="en-US" w:eastAsia="zh-CN"/>
              </w:rPr>
              <w:t>11</w:t>
            </w:r>
          </w:p>
        </w:tc>
        <w:tc>
          <w:tcPr>
            <w:tcW w:w="1035" w:type="dxa"/>
            <w:vMerge w:val="restart"/>
            <w:tcBorders>
              <w:top w:val="single" w:color="auto" w:sz="4" w:space="0"/>
              <w:left w:val="single" w:color="000000" w:sz="4" w:space="0"/>
              <w:right w:val="single" w:color="000000" w:sz="4" w:space="0"/>
            </w:tcBorders>
            <w:vAlign w:val="center"/>
          </w:tcPr>
          <w:p w14:paraId="3BBEBA29">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出具虚假证明，伪造证件、印章骗取抚恤金、补助金、优待金等其他抚恤优待待遇</w:t>
            </w:r>
          </w:p>
        </w:tc>
        <w:tc>
          <w:tcPr>
            <w:tcW w:w="3492" w:type="dxa"/>
            <w:vMerge w:val="restart"/>
            <w:tcBorders>
              <w:top w:val="single" w:color="auto" w:sz="4" w:space="0"/>
              <w:left w:val="single" w:color="000000" w:sz="4" w:space="0"/>
              <w:right w:val="single" w:color="000000" w:sz="4" w:space="0"/>
            </w:tcBorders>
            <w:vAlign w:val="center"/>
          </w:tcPr>
          <w:p w14:paraId="4B7DF22E">
            <w:pPr>
              <w:keepNext w:val="0"/>
              <w:keepLines w:val="0"/>
              <w:pageBreakBefore w:val="0"/>
              <w:kinsoku/>
              <w:wordWrap/>
              <w:overflowPunct/>
              <w:topLinePunct w:val="0"/>
              <w:autoSpaceDE/>
              <w:autoSpaceDN/>
              <w:bidi w:val="0"/>
              <w:adjustRightInd w:val="0"/>
              <w:snapToGrid w:val="0"/>
              <w:spacing w:line="24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《军人抚恤优待条例》第五十八条 抚恤优待对象及其他人员有下列行为之一的，由县级以上地方人民政府退役军人工作主管部门、军队有关部门取消相关待遇、追缴违法所得，并由其所在单位或者有关部门依法给予处分；构成犯罪的，依法追究刑事责任：</w:t>
            </w:r>
          </w:p>
          <w:p w14:paraId="44D516FF">
            <w:pPr>
              <w:keepNext w:val="0"/>
              <w:keepLines w:val="0"/>
              <w:pageBreakBefore w:val="0"/>
              <w:numPr>
                <w:ilvl w:val="0"/>
                <w:numId w:val="1"/>
              </w:numPr>
              <w:kinsoku/>
              <w:wordWrap/>
              <w:overflowPunct/>
              <w:topLinePunct w:val="0"/>
              <w:autoSpaceDE/>
              <w:autoSpaceDN/>
              <w:bidi w:val="0"/>
              <w:adjustRightInd w:val="0"/>
              <w:snapToGrid w:val="0"/>
              <w:spacing w:line="240" w:lineRule="exact"/>
              <w:ind w:left="0" w:leftChars="0"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 xml:space="preserve">出具虚假证明，伪造证件、印章骗取抚恤金、补助金、优待金的； </w:t>
            </w:r>
          </w:p>
          <w:p w14:paraId="16AA20CA">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《伤残抚恤管理办法》第二十八条 伤残人员以及其他人员有下列行为之一的，由县级以上地方人民政府退役军人主管部门取消相关待遇、追缴违法所得，并由其所在单位或者有关部门依法给予处分；构成犯罪的，依法追究刑事责任。</w:t>
            </w:r>
          </w:p>
          <w:p w14:paraId="62A8C92D">
            <w:pPr>
              <w:pStyle w:val="17"/>
              <w:keepNext w:val="0"/>
              <w:keepLines w:val="0"/>
              <w:pageBreakBefore w:val="0"/>
              <w:numPr>
                <w:ilvl w:val="0"/>
                <w:numId w:val="0"/>
              </w:numPr>
              <w:kinsoku/>
              <w:wordWrap/>
              <w:overflowPunct/>
              <w:topLinePunct w:val="0"/>
              <w:autoSpaceDE/>
              <w:autoSpaceDN/>
              <w:bidi w:val="0"/>
              <w:adjustRightInd w:val="0"/>
              <w:snapToGrid w:val="0"/>
              <w:spacing w:line="240" w:lineRule="exact"/>
              <w:ind w:firstLine="400" w:firstLineChars="200"/>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（四）出具假证明，伪造证件、印章骗取抚恤金和相关待遇的；</w:t>
            </w:r>
          </w:p>
          <w:p w14:paraId="0470921B">
            <w:pPr>
              <w:keepNext w:val="0"/>
              <w:keepLines w:val="0"/>
              <w:pageBreakBefore w:val="0"/>
              <w:kinsoku/>
              <w:wordWrap/>
              <w:overflowPunct/>
              <w:topLinePunct w:val="0"/>
              <w:autoSpaceDE/>
              <w:autoSpaceDN/>
              <w:bidi w:val="0"/>
              <w:adjustRightInd w:val="0"/>
              <w:snapToGrid w:val="0"/>
              <w:spacing w:line="240" w:lineRule="exact"/>
              <w:ind w:firstLine="400" w:firstLineChars="200"/>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 xml:space="preserve">（五）其他弄虚作假骗取抚恤金的。 </w:t>
            </w:r>
          </w:p>
        </w:tc>
        <w:tc>
          <w:tcPr>
            <w:tcW w:w="1109" w:type="dxa"/>
            <w:tcBorders>
              <w:top w:val="single" w:color="auto" w:sz="4" w:space="0"/>
              <w:left w:val="single" w:color="000000" w:sz="4" w:space="0"/>
              <w:bottom w:val="single" w:color="auto" w:sz="4" w:space="0"/>
              <w:right w:val="single" w:color="000000" w:sz="4" w:space="0"/>
            </w:tcBorders>
            <w:vAlign w:val="center"/>
          </w:tcPr>
          <w:p w14:paraId="2466F1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减轻处罚</w:t>
            </w:r>
          </w:p>
        </w:tc>
        <w:tc>
          <w:tcPr>
            <w:tcW w:w="1137" w:type="dxa"/>
            <w:tcBorders>
              <w:top w:val="single" w:color="auto" w:sz="4" w:space="0"/>
              <w:left w:val="single" w:color="000000" w:sz="4" w:space="0"/>
              <w:bottom w:val="single" w:color="auto" w:sz="4" w:space="0"/>
              <w:right w:val="single" w:color="000000" w:sz="4" w:space="0"/>
            </w:tcBorders>
            <w:vAlign w:val="center"/>
          </w:tcPr>
          <w:p w14:paraId="09B501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取消相关待遇，追缴违法所得</w:t>
            </w:r>
          </w:p>
        </w:tc>
        <w:tc>
          <w:tcPr>
            <w:tcW w:w="4143" w:type="dxa"/>
            <w:tcBorders>
              <w:top w:val="single" w:color="auto" w:sz="4" w:space="0"/>
              <w:left w:val="single" w:color="000000" w:sz="4" w:space="0"/>
              <w:bottom w:val="single" w:color="auto" w:sz="4" w:space="0"/>
              <w:right w:val="single" w:color="000000" w:sz="4" w:space="0"/>
            </w:tcBorders>
            <w:vAlign w:val="center"/>
          </w:tcPr>
          <w:p w14:paraId="6E5E7336">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当事人违法出具虚假证明，伪造证件、印章骗取抚恤金、补助金、优待金，弄虚作假骗取抚恤优待待遇的，金额不足3000元的。</w:t>
            </w:r>
          </w:p>
        </w:tc>
        <w:tc>
          <w:tcPr>
            <w:tcW w:w="1124" w:type="dxa"/>
            <w:tcBorders>
              <w:top w:val="single" w:color="auto" w:sz="4" w:space="0"/>
              <w:left w:val="single" w:color="000000" w:sz="4" w:space="0"/>
              <w:bottom w:val="single" w:color="auto" w:sz="4" w:space="0"/>
              <w:right w:val="single" w:color="000000" w:sz="4" w:space="0"/>
            </w:tcBorders>
            <w:vAlign w:val="center"/>
          </w:tcPr>
          <w:p w14:paraId="66E9F4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取消相关待遇，追缴违法所得</w:t>
            </w:r>
            <w:r>
              <w:rPr>
                <w:rFonts w:hint="eastAsia" w:ascii="Times New Roman" w:hAnsi="Times New Roman" w:eastAsia="国标仿宋-GB/T 2312" w:cs="Times New Roman"/>
                <w:i w:val="0"/>
                <w:color w:val="auto"/>
                <w:spacing w:val="0"/>
                <w:kern w:val="0"/>
                <w:sz w:val="20"/>
                <w:szCs w:val="20"/>
                <w:highlight w:val="none"/>
                <w:u w:val="none"/>
                <w:lang w:val="en-US" w:eastAsia="zh-CN" w:bidi="ar"/>
              </w:rPr>
              <w:t>，由其多下单位依法给予处分</w:t>
            </w:r>
          </w:p>
        </w:tc>
        <w:tc>
          <w:tcPr>
            <w:tcW w:w="908" w:type="dxa"/>
            <w:vMerge w:val="restart"/>
            <w:tcBorders>
              <w:top w:val="single" w:color="000000" w:sz="4" w:space="0"/>
              <w:left w:val="single" w:color="000000" w:sz="4" w:space="0"/>
              <w:right w:val="single" w:color="000000" w:sz="4" w:space="0"/>
            </w:tcBorders>
            <w:vAlign w:val="center"/>
          </w:tcPr>
          <w:p w14:paraId="42EED7BE">
            <w:pPr>
              <w:keepNext w:val="0"/>
              <w:keepLines w:val="0"/>
              <w:pageBreakBefore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eastAsia" w:ascii="Times New Roman" w:hAnsi="Times New Roman" w:eastAsia="国标仿宋-GB/T 2312" w:cs="Times New Roman"/>
                <w:i w:val="0"/>
                <w:color w:val="auto"/>
                <w:spacing w:val="0"/>
                <w:kern w:val="0"/>
                <w:sz w:val="20"/>
                <w:szCs w:val="20"/>
                <w:highlight w:val="none"/>
                <w:u w:val="none"/>
                <w:lang w:val="en-US" w:eastAsia="zh-CN" w:bidi="ar"/>
              </w:rPr>
              <w:t>适用条件中到达3000元以上的包含3000元</w:t>
            </w:r>
          </w:p>
        </w:tc>
      </w:tr>
      <w:tr w14:paraId="4D70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2" w:type="dxa"/>
            <w:vMerge w:val="continue"/>
            <w:tcBorders>
              <w:left w:val="single" w:color="000000" w:sz="4" w:space="0"/>
              <w:bottom w:val="single" w:color="auto" w:sz="4" w:space="0"/>
              <w:right w:val="single" w:color="000000" w:sz="4" w:space="0"/>
            </w:tcBorders>
            <w:vAlign w:val="center"/>
          </w:tcPr>
          <w:p w14:paraId="4BCFD92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国标仿宋-GB/T 2312" w:cs="Times New Roman"/>
                <w:i w:val="0"/>
                <w:color w:val="auto"/>
                <w:spacing w:val="0"/>
                <w:sz w:val="20"/>
                <w:szCs w:val="20"/>
                <w:highlight w:val="none"/>
                <w:u w:val="none"/>
                <w:lang w:val="en-US" w:eastAsia="zh-CN"/>
              </w:rPr>
            </w:pPr>
          </w:p>
        </w:tc>
        <w:tc>
          <w:tcPr>
            <w:tcW w:w="1035" w:type="dxa"/>
            <w:vMerge w:val="continue"/>
            <w:tcBorders>
              <w:left w:val="single" w:color="000000" w:sz="4" w:space="0"/>
              <w:bottom w:val="single" w:color="auto" w:sz="4" w:space="0"/>
              <w:right w:val="single" w:color="000000" w:sz="4" w:space="0"/>
            </w:tcBorders>
            <w:vAlign w:val="center"/>
          </w:tcPr>
          <w:p w14:paraId="5BE7EE07">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bottom w:val="single" w:color="auto" w:sz="4" w:space="0"/>
              <w:right w:val="single" w:color="000000" w:sz="4" w:space="0"/>
            </w:tcBorders>
            <w:vAlign w:val="center"/>
          </w:tcPr>
          <w:p w14:paraId="2A5F2AC5">
            <w:pPr>
              <w:keepNext w:val="0"/>
              <w:keepLines w:val="0"/>
              <w:pageBreakBefore w:val="0"/>
              <w:kinsoku/>
              <w:wordWrap/>
              <w:overflowPunct/>
              <w:topLinePunct w:val="0"/>
              <w:autoSpaceDE/>
              <w:autoSpaceDN/>
              <w:bidi w:val="0"/>
              <w:adjustRightInd w:val="0"/>
              <w:snapToGrid w:val="0"/>
              <w:ind w:firstLine="400" w:firstLineChars="200"/>
              <w:jc w:val="both"/>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109" w:type="dxa"/>
            <w:tcBorders>
              <w:top w:val="single" w:color="auto" w:sz="4" w:space="0"/>
              <w:left w:val="single" w:color="000000" w:sz="4" w:space="0"/>
              <w:right w:val="single" w:color="000000" w:sz="4" w:space="0"/>
            </w:tcBorders>
            <w:vAlign w:val="center"/>
          </w:tcPr>
          <w:p w14:paraId="2B5CB6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一般处罚</w:t>
            </w:r>
          </w:p>
        </w:tc>
        <w:tc>
          <w:tcPr>
            <w:tcW w:w="1137" w:type="dxa"/>
            <w:tcBorders>
              <w:top w:val="single" w:color="auto" w:sz="4" w:space="0"/>
              <w:left w:val="single" w:color="000000" w:sz="4" w:space="0"/>
              <w:right w:val="single" w:color="000000" w:sz="4" w:space="0"/>
            </w:tcBorders>
            <w:vAlign w:val="center"/>
          </w:tcPr>
          <w:p w14:paraId="06371B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取消相关待遇，追缴违法所得</w:t>
            </w:r>
          </w:p>
        </w:tc>
        <w:tc>
          <w:tcPr>
            <w:tcW w:w="4143" w:type="dxa"/>
            <w:tcBorders>
              <w:top w:val="single" w:color="auto" w:sz="4" w:space="0"/>
              <w:left w:val="single" w:color="000000" w:sz="4" w:space="0"/>
              <w:right w:val="single" w:color="000000" w:sz="4" w:space="0"/>
            </w:tcBorders>
            <w:vAlign w:val="center"/>
          </w:tcPr>
          <w:p w14:paraId="5E41F477">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当事人违法出具虚假证明，伪造证件、印章骗取抚恤金、补助金、优待金，弄虚作假骗取抚恤优待待遇的，金额达到3000元以上</w:t>
            </w:r>
            <w:r>
              <w:rPr>
                <w:rFonts w:hint="eastAsia" w:ascii="Times New Roman" w:hAnsi="Times New Roman" w:eastAsia="国标仿宋-GB/T 2312" w:cs="Times New Roman"/>
                <w:i w:val="0"/>
                <w:color w:val="auto"/>
                <w:spacing w:val="0"/>
                <w:kern w:val="0"/>
                <w:sz w:val="20"/>
                <w:szCs w:val="20"/>
                <w:highlight w:val="none"/>
                <w:u w:val="none"/>
                <w:lang w:val="en-US" w:eastAsia="zh-CN" w:bidi="ar"/>
              </w:rPr>
              <w:t>的</w:t>
            </w:r>
          </w:p>
        </w:tc>
        <w:tc>
          <w:tcPr>
            <w:tcW w:w="1124" w:type="dxa"/>
            <w:tcBorders>
              <w:top w:val="single" w:color="auto" w:sz="4" w:space="0"/>
              <w:left w:val="single" w:color="000000" w:sz="4" w:space="0"/>
              <w:bottom w:val="single" w:color="auto" w:sz="4" w:space="0"/>
              <w:right w:val="single" w:color="000000" w:sz="4" w:space="0"/>
            </w:tcBorders>
            <w:vAlign w:val="center"/>
          </w:tcPr>
          <w:p w14:paraId="616DC3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取消相关待遇，追缴违法所得</w:t>
            </w:r>
            <w:r>
              <w:rPr>
                <w:rFonts w:hint="eastAsia" w:ascii="Times New Roman" w:hAnsi="Times New Roman" w:eastAsia="国标仿宋-GB/T 2312" w:cs="Times New Roman"/>
                <w:i w:val="0"/>
                <w:color w:val="auto"/>
                <w:spacing w:val="0"/>
                <w:kern w:val="0"/>
                <w:sz w:val="20"/>
                <w:szCs w:val="20"/>
                <w:highlight w:val="none"/>
                <w:u w:val="none"/>
                <w:lang w:val="en-US" w:eastAsia="zh-CN" w:bidi="ar"/>
              </w:rPr>
              <w:t>，</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移送</w:t>
            </w:r>
            <w:r>
              <w:rPr>
                <w:rFonts w:hint="eastAsia" w:ascii="Times New Roman" w:hAnsi="Times New Roman" w:eastAsia="国标仿宋-GB/T 2312" w:cs="Times New Roman"/>
                <w:i w:val="0"/>
                <w:color w:val="auto"/>
                <w:spacing w:val="0"/>
                <w:kern w:val="0"/>
                <w:sz w:val="20"/>
                <w:szCs w:val="20"/>
                <w:highlight w:val="none"/>
                <w:u w:val="none"/>
                <w:lang w:val="en-US" w:eastAsia="zh-CN" w:bidi="ar"/>
              </w:rPr>
              <w:t>有关</w:t>
            </w:r>
            <w:r>
              <w:rPr>
                <w:rFonts w:hint="default" w:ascii="Times New Roman" w:hAnsi="Times New Roman" w:eastAsia="国标仿宋-GB/T 2312" w:cs="Times New Roman"/>
                <w:i w:val="0"/>
                <w:color w:val="auto"/>
                <w:spacing w:val="0"/>
                <w:kern w:val="0"/>
                <w:sz w:val="20"/>
                <w:szCs w:val="20"/>
                <w:highlight w:val="none"/>
                <w:u w:val="none"/>
                <w:lang w:val="en-US" w:eastAsia="zh-CN" w:bidi="ar"/>
              </w:rPr>
              <w:t>机关追究刑事责任。</w:t>
            </w:r>
          </w:p>
        </w:tc>
        <w:tc>
          <w:tcPr>
            <w:tcW w:w="908" w:type="dxa"/>
            <w:vMerge w:val="continue"/>
            <w:tcBorders>
              <w:left w:val="single" w:color="000000" w:sz="4" w:space="0"/>
              <w:right w:val="single" w:color="000000" w:sz="4" w:space="0"/>
            </w:tcBorders>
            <w:vAlign w:val="center"/>
          </w:tcPr>
          <w:p w14:paraId="6D81AA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r>
      <w:tr w14:paraId="5A7B9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712" w:type="dxa"/>
            <w:vMerge w:val="restart"/>
            <w:tcBorders>
              <w:left w:val="single" w:color="000000" w:sz="4" w:space="0"/>
              <w:right w:val="single" w:color="000000" w:sz="4" w:space="0"/>
            </w:tcBorders>
            <w:vAlign w:val="center"/>
          </w:tcPr>
          <w:p w14:paraId="33690A9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12</w:t>
            </w:r>
          </w:p>
        </w:tc>
        <w:tc>
          <w:tcPr>
            <w:tcW w:w="1035" w:type="dxa"/>
            <w:vMerge w:val="restart"/>
            <w:tcBorders>
              <w:left w:val="single" w:color="000000" w:sz="4" w:space="0"/>
              <w:right w:val="single" w:color="000000" w:sz="4" w:space="0"/>
            </w:tcBorders>
            <w:vAlign w:val="center"/>
          </w:tcPr>
          <w:p w14:paraId="65234FC9">
            <w:pPr>
              <w:keepNext w:val="0"/>
              <w:keepLines w:val="0"/>
              <w:pageBreakBefore w:val="0"/>
              <w:kinsoku/>
              <w:wordWrap/>
              <w:overflowPunct/>
              <w:topLinePunct w:val="0"/>
              <w:autoSpaceDE/>
              <w:autoSpaceDN/>
              <w:bidi w:val="0"/>
              <w:adjustRightInd w:val="0"/>
              <w:snapToGrid w:val="0"/>
              <w:jc w:val="both"/>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冒领、骗取烈士褒扬金、抚恤金、补助</w:t>
            </w:r>
          </w:p>
        </w:tc>
        <w:tc>
          <w:tcPr>
            <w:tcW w:w="3492" w:type="dxa"/>
            <w:vMerge w:val="restart"/>
            <w:tcBorders>
              <w:left w:val="single" w:color="000000" w:sz="4" w:space="0"/>
              <w:right w:val="single" w:color="000000" w:sz="4" w:space="0"/>
            </w:tcBorders>
            <w:vAlign w:val="center"/>
          </w:tcPr>
          <w:p w14:paraId="30139768">
            <w:pPr>
              <w:keepNext w:val="0"/>
              <w:keepLines w:val="0"/>
              <w:pageBreakBefore w:val="0"/>
              <w:kinsoku/>
              <w:wordWrap/>
              <w:overflowPunct/>
              <w:topLinePunct w:val="0"/>
              <w:autoSpaceDE/>
              <w:autoSpaceDN/>
              <w:bidi w:val="0"/>
              <w:adjustRightInd w:val="0"/>
              <w:snapToGrid w:val="0"/>
              <w:ind w:firstLine="400" w:firstLineChars="200"/>
              <w:jc w:val="both"/>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《烈士褒扬条例》第六十一条  冒领烈士褒扬金、抚恤金、补助，出具虚假证明或者伪造证件、印章骗取烈士褒扬金或者抚恤金、补助的，由县级以上地方人民政府退役军人主管部门取消相关待遇、追缴违法所得，并由其所在单位或者有关部门依法给予处分。</w:t>
            </w:r>
          </w:p>
        </w:tc>
        <w:tc>
          <w:tcPr>
            <w:tcW w:w="1109" w:type="dxa"/>
            <w:tcBorders>
              <w:top w:val="single" w:color="auto" w:sz="4" w:space="0"/>
              <w:left w:val="single" w:color="000000" w:sz="4" w:space="0"/>
              <w:bottom w:val="single" w:color="auto" w:sz="4" w:space="0"/>
              <w:right w:val="single" w:color="000000" w:sz="4" w:space="0"/>
            </w:tcBorders>
            <w:vAlign w:val="center"/>
          </w:tcPr>
          <w:p w14:paraId="40CBA9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sz w:val="20"/>
                <w:szCs w:val="20"/>
                <w:highlight w:val="none"/>
                <w:u w:val="no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减轻处罚</w:t>
            </w:r>
          </w:p>
        </w:tc>
        <w:tc>
          <w:tcPr>
            <w:tcW w:w="1137" w:type="dxa"/>
            <w:tcBorders>
              <w:top w:val="single" w:color="auto" w:sz="4" w:space="0"/>
              <w:left w:val="single" w:color="000000" w:sz="4" w:space="0"/>
              <w:bottom w:val="single" w:color="auto" w:sz="4" w:space="0"/>
              <w:right w:val="single" w:color="000000" w:sz="4" w:space="0"/>
            </w:tcBorders>
            <w:vAlign w:val="center"/>
          </w:tcPr>
          <w:p w14:paraId="0F85AA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取消相关待遇，追缴违法所得</w:t>
            </w:r>
          </w:p>
        </w:tc>
        <w:tc>
          <w:tcPr>
            <w:tcW w:w="4143" w:type="dxa"/>
            <w:tcBorders>
              <w:top w:val="single" w:color="auto" w:sz="4" w:space="0"/>
              <w:left w:val="single" w:color="000000" w:sz="4" w:space="0"/>
              <w:bottom w:val="single" w:color="auto" w:sz="4" w:space="0"/>
              <w:right w:val="single" w:color="000000" w:sz="4" w:space="0"/>
            </w:tcBorders>
            <w:vAlign w:val="center"/>
          </w:tcPr>
          <w:p w14:paraId="2CFFC5CC">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color w:val="auto"/>
                <w:spacing w:val="0"/>
                <w:kern w:val="0"/>
                <w:sz w:val="20"/>
                <w:szCs w:val="20"/>
                <w:highlight w:val="none"/>
                <w:u w:val="none"/>
                <w:lang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当事人伪造相关申请材料或手续，冒领、骗取褒扬金、抚恤金、补助金，金额不足3000元的。</w:t>
            </w:r>
          </w:p>
        </w:tc>
        <w:tc>
          <w:tcPr>
            <w:tcW w:w="1124" w:type="dxa"/>
            <w:tcBorders>
              <w:top w:val="single" w:color="auto" w:sz="4" w:space="0"/>
              <w:left w:val="single" w:color="000000" w:sz="4" w:space="0"/>
              <w:bottom w:val="single" w:color="auto" w:sz="4" w:space="0"/>
              <w:right w:val="single" w:color="000000" w:sz="4" w:space="0"/>
            </w:tcBorders>
            <w:vAlign w:val="center"/>
          </w:tcPr>
          <w:p w14:paraId="2C3128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sz w:val="20"/>
                <w:szCs w:val="20"/>
                <w:highlight w:val="none"/>
                <w:u w:val="none"/>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取消相关待遇，追缴违法所得</w:t>
            </w:r>
          </w:p>
        </w:tc>
        <w:tc>
          <w:tcPr>
            <w:tcW w:w="908" w:type="dxa"/>
            <w:vMerge w:val="restart"/>
            <w:tcBorders>
              <w:top w:val="single" w:color="auto" w:sz="4" w:space="0"/>
              <w:left w:val="single" w:color="000000" w:sz="4" w:space="0"/>
              <w:right w:val="single" w:color="000000" w:sz="4" w:space="0"/>
            </w:tcBorders>
            <w:vAlign w:val="center"/>
          </w:tcPr>
          <w:p w14:paraId="0420C0C0">
            <w:pPr>
              <w:keepNext w:val="0"/>
              <w:keepLines w:val="0"/>
              <w:pageBreakBefore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国标仿宋-GB/T 2312" w:cs="Times New Roman"/>
                <w:i w:val="0"/>
                <w:color w:val="auto"/>
                <w:spacing w:val="0"/>
                <w:sz w:val="20"/>
                <w:szCs w:val="20"/>
                <w:highlight w:val="none"/>
                <w:u w:val="none"/>
              </w:rPr>
            </w:pPr>
            <w:r>
              <w:rPr>
                <w:rFonts w:hint="eastAsia" w:ascii="Times New Roman" w:hAnsi="Times New Roman" w:eastAsia="国标仿宋-GB/T 2312" w:cs="Times New Roman"/>
                <w:i w:val="0"/>
                <w:color w:val="auto"/>
                <w:spacing w:val="0"/>
                <w:kern w:val="0"/>
                <w:sz w:val="20"/>
                <w:szCs w:val="20"/>
                <w:highlight w:val="none"/>
                <w:u w:val="none"/>
                <w:lang w:val="en-US" w:eastAsia="zh-CN" w:bidi="ar"/>
              </w:rPr>
              <w:t>适用条件中到达3000元以上的包含3000元</w:t>
            </w:r>
          </w:p>
        </w:tc>
      </w:tr>
      <w:tr w14:paraId="7AA8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jc w:val="center"/>
        </w:trPr>
        <w:tc>
          <w:tcPr>
            <w:tcW w:w="712" w:type="dxa"/>
            <w:vMerge w:val="continue"/>
            <w:tcBorders>
              <w:left w:val="single" w:color="000000" w:sz="4" w:space="0"/>
              <w:bottom w:val="single" w:color="auto" w:sz="4" w:space="0"/>
              <w:right w:val="single" w:color="000000" w:sz="4" w:space="0"/>
            </w:tcBorders>
            <w:vAlign w:val="center"/>
          </w:tcPr>
          <w:p w14:paraId="1CE804D7">
            <w:pPr>
              <w:keepNext w:val="0"/>
              <w:keepLines w:val="0"/>
              <w:pageBreakBefore w:val="0"/>
              <w:kinsoku/>
              <w:wordWrap/>
              <w:overflowPunct/>
              <w:topLinePunct w:val="0"/>
              <w:autoSpaceDE/>
              <w:autoSpaceDN/>
              <w:bidi w:val="0"/>
              <w:adjustRightInd w:val="0"/>
              <w:snapToGrid w:val="0"/>
              <w:jc w:val="both"/>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035" w:type="dxa"/>
            <w:vMerge w:val="continue"/>
            <w:tcBorders>
              <w:left w:val="single" w:color="000000" w:sz="4" w:space="0"/>
              <w:bottom w:val="single" w:color="auto" w:sz="4" w:space="0"/>
              <w:right w:val="single" w:color="000000" w:sz="4" w:space="0"/>
            </w:tcBorders>
            <w:vAlign w:val="center"/>
          </w:tcPr>
          <w:p w14:paraId="3C84C16C">
            <w:pPr>
              <w:keepNext w:val="0"/>
              <w:keepLines w:val="0"/>
              <w:pageBreakBefore w:val="0"/>
              <w:kinsoku/>
              <w:wordWrap/>
              <w:overflowPunct/>
              <w:topLinePunct w:val="0"/>
              <w:autoSpaceDE/>
              <w:autoSpaceDN/>
              <w:bidi w:val="0"/>
              <w:adjustRightInd w:val="0"/>
              <w:snapToGrid w:val="0"/>
              <w:jc w:val="both"/>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3492" w:type="dxa"/>
            <w:vMerge w:val="continue"/>
            <w:tcBorders>
              <w:left w:val="single" w:color="000000" w:sz="4" w:space="0"/>
              <w:bottom w:val="single" w:color="auto" w:sz="4" w:space="0"/>
              <w:right w:val="single" w:color="000000" w:sz="4" w:space="0"/>
            </w:tcBorders>
            <w:vAlign w:val="center"/>
          </w:tcPr>
          <w:p w14:paraId="2C67AEFD">
            <w:pPr>
              <w:keepNext w:val="0"/>
              <w:keepLines w:val="0"/>
              <w:pageBreakBefore w:val="0"/>
              <w:kinsoku/>
              <w:wordWrap/>
              <w:overflowPunct/>
              <w:topLinePunct w:val="0"/>
              <w:autoSpaceDE/>
              <w:autoSpaceDN/>
              <w:bidi w:val="0"/>
              <w:adjustRightInd w:val="0"/>
              <w:snapToGrid w:val="0"/>
              <w:ind w:firstLine="400" w:firstLineChars="200"/>
              <w:jc w:val="both"/>
              <w:rPr>
                <w:rFonts w:hint="default" w:ascii="Times New Roman" w:hAnsi="Times New Roman" w:eastAsia="国标仿宋-GB/T 2312" w:cs="Times New Roman"/>
                <w:i w:val="0"/>
                <w:color w:val="auto"/>
                <w:spacing w:val="0"/>
                <w:kern w:val="0"/>
                <w:sz w:val="20"/>
                <w:szCs w:val="20"/>
                <w:highlight w:val="none"/>
                <w:u w:val="none"/>
                <w:lang w:val="en-US" w:eastAsia="zh-CN" w:bidi="ar"/>
              </w:rPr>
            </w:pPr>
          </w:p>
        </w:tc>
        <w:tc>
          <w:tcPr>
            <w:tcW w:w="1109" w:type="dxa"/>
            <w:tcBorders>
              <w:top w:val="single" w:color="auto" w:sz="4" w:space="0"/>
              <w:left w:val="single" w:color="000000" w:sz="4" w:space="0"/>
              <w:bottom w:val="single" w:color="auto" w:sz="4" w:space="0"/>
              <w:right w:val="single" w:color="000000" w:sz="4" w:space="0"/>
            </w:tcBorders>
            <w:vAlign w:val="center"/>
          </w:tcPr>
          <w:p w14:paraId="13A0C9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2"/>
                <w:sz w:val="20"/>
                <w:szCs w:val="20"/>
                <w:highlight w:val="none"/>
                <w:u w:val="none"/>
                <w:lang w:val="en-US" w:eastAsia="zh-CN" w:bidi="ar-SA"/>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一般处罚</w:t>
            </w:r>
          </w:p>
        </w:tc>
        <w:tc>
          <w:tcPr>
            <w:tcW w:w="1137" w:type="dxa"/>
            <w:tcBorders>
              <w:top w:val="single" w:color="auto" w:sz="4" w:space="0"/>
              <w:left w:val="single" w:color="000000" w:sz="4" w:space="0"/>
              <w:bottom w:val="single" w:color="auto" w:sz="4" w:space="0"/>
              <w:right w:val="single" w:color="000000" w:sz="4" w:space="0"/>
            </w:tcBorders>
            <w:vAlign w:val="center"/>
          </w:tcPr>
          <w:p w14:paraId="62082A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取消相关待遇，追缴违法所得</w:t>
            </w:r>
          </w:p>
        </w:tc>
        <w:tc>
          <w:tcPr>
            <w:tcW w:w="4143" w:type="dxa"/>
            <w:tcBorders>
              <w:top w:val="single" w:color="auto" w:sz="4" w:space="0"/>
              <w:left w:val="single" w:color="000000" w:sz="4" w:space="0"/>
              <w:bottom w:val="single" w:color="auto" w:sz="4" w:space="0"/>
              <w:right w:val="single" w:color="000000" w:sz="4" w:space="0"/>
            </w:tcBorders>
            <w:vAlign w:val="center"/>
          </w:tcPr>
          <w:p w14:paraId="4B8FB4DC">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当事人伪造相关申请材料或手续，冒领、骗取褒扬金、抚恤金、补助金，金额达到3000元以上的。</w:t>
            </w:r>
          </w:p>
        </w:tc>
        <w:tc>
          <w:tcPr>
            <w:tcW w:w="1124" w:type="dxa"/>
            <w:tcBorders>
              <w:top w:val="single" w:color="auto" w:sz="4" w:space="0"/>
              <w:left w:val="single" w:color="000000" w:sz="4" w:space="0"/>
              <w:bottom w:val="single" w:color="auto" w:sz="4" w:space="0"/>
              <w:right w:val="single" w:color="000000" w:sz="4" w:space="0"/>
            </w:tcBorders>
            <w:vAlign w:val="center"/>
          </w:tcPr>
          <w:p w14:paraId="430184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2"/>
                <w:sz w:val="20"/>
                <w:szCs w:val="20"/>
                <w:highlight w:val="none"/>
                <w:u w:val="none"/>
                <w:lang w:val="en-US" w:eastAsia="zh-CN" w:bidi="ar-SA"/>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取消相关待遇，追缴违法所得</w:t>
            </w:r>
          </w:p>
        </w:tc>
        <w:tc>
          <w:tcPr>
            <w:tcW w:w="908" w:type="dxa"/>
            <w:vMerge w:val="continue"/>
            <w:tcBorders>
              <w:left w:val="single" w:color="000000" w:sz="4" w:space="0"/>
              <w:bottom w:val="single" w:color="auto" w:sz="4" w:space="0"/>
              <w:right w:val="single" w:color="000000" w:sz="4" w:space="0"/>
            </w:tcBorders>
            <w:vAlign w:val="center"/>
          </w:tcPr>
          <w:p w14:paraId="12C888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2"/>
                <w:sz w:val="20"/>
                <w:szCs w:val="20"/>
                <w:highlight w:val="none"/>
                <w:u w:val="none"/>
                <w:lang w:val="en-US" w:eastAsia="zh-CN" w:bidi="ar-SA"/>
              </w:rPr>
            </w:pPr>
          </w:p>
        </w:tc>
      </w:tr>
      <w:tr w14:paraId="24F4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712" w:type="dxa"/>
            <w:vMerge w:val="restart"/>
            <w:tcBorders>
              <w:top w:val="single" w:color="auto" w:sz="4" w:space="0"/>
              <w:left w:val="single" w:color="000000" w:sz="4" w:space="0"/>
              <w:bottom w:val="single" w:color="auto" w:sz="4" w:space="0"/>
              <w:right w:val="single" w:color="auto" w:sz="4" w:space="0"/>
            </w:tcBorders>
            <w:vAlign w:val="center"/>
          </w:tcPr>
          <w:p w14:paraId="2A0ED44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国标仿宋-GB/T 2312" w:cs="Times New Roman"/>
                <w:i w:val="0"/>
                <w:color w:val="auto"/>
                <w:spacing w:val="0"/>
                <w:sz w:val="20"/>
                <w:szCs w:val="20"/>
                <w:highlight w:val="none"/>
                <w:u w:val="no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13</w:t>
            </w:r>
          </w:p>
        </w:tc>
        <w:tc>
          <w:tcPr>
            <w:tcW w:w="1035" w:type="dxa"/>
            <w:vMerge w:val="restart"/>
            <w:tcBorders>
              <w:top w:val="single" w:color="auto" w:sz="4" w:space="0"/>
              <w:left w:val="single" w:color="auto" w:sz="4" w:space="0"/>
              <w:bottom w:val="single" w:color="auto" w:sz="4" w:space="0"/>
              <w:right w:val="single" w:color="000000" w:sz="4" w:space="0"/>
            </w:tcBorders>
            <w:vAlign w:val="center"/>
          </w:tcPr>
          <w:p w14:paraId="3B7DDF19">
            <w:pPr>
              <w:keepNext w:val="0"/>
              <w:keepLines w:val="0"/>
              <w:pageBreakBefore w:val="0"/>
              <w:kinsoku/>
              <w:wordWrap/>
              <w:overflowPunct/>
              <w:topLinePunct w:val="0"/>
              <w:autoSpaceDE/>
              <w:autoSpaceDN/>
              <w:bidi w:val="0"/>
              <w:adjustRightInd w:val="0"/>
              <w:snapToGrid w:val="0"/>
              <w:jc w:val="both"/>
              <w:rPr>
                <w:rFonts w:hint="default" w:ascii="Times New Roman" w:hAnsi="Times New Roman" w:eastAsia="国标仿宋-GB/T 2312" w:cs="Times New Roman"/>
                <w:i w:val="0"/>
                <w:color w:val="auto"/>
                <w:spacing w:val="0"/>
                <w:sz w:val="20"/>
                <w:szCs w:val="20"/>
                <w:highlight w:val="none"/>
                <w:u w:val="none"/>
                <w:lang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负有烈士遗属优待义务的单位不履行烈士遗属优待义务</w:t>
            </w:r>
          </w:p>
        </w:tc>
        <w:tc>
          <w:tcPr>
            <w:tcW w:w="3492" w:type="dxa"/>
            <w:vMerge w:val="restart"/>
            <w:tcBorders>
              <w:top w:val="single" w:color="auto" w:sz="4" w:space="0"/>
              <w:left w:val="single" w:color="000000" w:sz="4" w:space="0"/>
              <w:bottom w:val="single" w:color="auto" w:sz="4" w:space="0"/>
              <w:right w:val="single" w:color="000000" w:sz="4" w:space="0"/>
            </w:tcBorders>
            <w:vAlign w:val="center"/>
          </w:tcPr>
          <w:p w14:paraId="32578BB2">
            <w:pPr>
              <w:keepNext w:val="0"/>
              <w:keepLines w:val="0"/>
              <w:pageBreakBefore w:val="0"/>
              <w:kinsoku/>
              <w:wordWrap/>
              <w:overflowPunct/>
              <w:topLinePunct w:val="0"/>
              <w:autoSpaceDE/>
              <w:autoSpaceDN/>
              <w:bidi w:val="0"/>
              <w:adjustRightInd w:val="0"/>
              <w:snapToGrid w:val="0"/>
              <w:ind w:firstLine="200" w:firstLineChars="100"/>
              <w:jc w:val="both"/>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《烈士褒扬条例》第六十条 负有烈士遗属优待义务的单位不履行优待义务的，由县级以上地方人民政府退役军人工作主管部门责令限期履行义务；逾期仍未履行的，处2万元以上5万元以下的罚款；对负有责任的领导人员和直接责任人员依法给予处分。</w:t>
            </w:r>
          </w:p>
        </w:tc>
        <w:tc>
          <w:tcPr>
            <w:tcW w:w="1109" w:type="dxa"/>
            <w:tcBorders>
              <w:top w:val="single" w:color="000000" w:sz="4" w:space="0"/>
              <w:left w:val="single" w:color="auto" w:sz="4" w:space="0"/>
              <w:bottom w:val="single" w:color="auto" w:sz="4" w:space="0"/>
              <w:right w:val="single" w:color="000000" w:sz="4" w:space="0"/>
            </w:tcBorders>
            <w:vAlign w:val="center"/>
          </w:tcPr>
          <w:p w14:paraId="3200E5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不予处罚</w:t>
            </w:r>
          </w:p>
        </w:tc>
        <w:tc>
          <w:tcPr>
            <w:tcW w:w="1137" w:type="dxa"/>
            <w:tcBorders>
              <w:top w:val="single" w:color="000000" w:sz="4" w:space="0"/>
              <w:left w:val="single" w:color="000000" w:sz="4" w:space="0"/>
              <w:bottom w:val="single" w:color="auto" w:sz="4" w:space="0"/>
              <w:right w:val="single" w:color="000000" w:sz="4" w:space="0"/>
            </w:tcBorders>
            <w:vAlign w:val="center"/>
          </w:tcPr>
          <w:p w14:paraId="446CF7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责令限期履行义务</w:t>
            </w:r>
          </w:p>
        </w:tc>
        <w:tc>
          <w:tcPr>
            <w:tcW w:w="4143" w:type="dxa"/>
            <w:tcBorders>
              <w:top w:val="single" w:color="000000" w:sz="4" w:space="0"/>
              <w:left w:val="single" w:color="000000" w:sz="4" w:space="0"/>
              <w:bottom w:val="single" w:color="auto" w:sz="4" w:space="0"/>
              <w:right w:val="single" w:color="000000" w:sz="4" w:space="0"/>
            </w:tcBorders>
            <w:vAlign w:val="center"/>
          </w:tcPr>
          <w:p w14:paraId="02E7A619">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负有烈士遗属优待义务的单位不履行优待义务的，经责令限期履行义务后，主动及时整改到位，未造成危害后果的。</w:t>
            </w:r>
          </w:p>
        </w:tc>
        <w:tc>
          <w:tcPr>
            <w:tcW w:w="1124" w:type="dxa"/>
            <w:tcBorders>
              <w:top w:val="single" w:color="000000" w:sz="4" w:space="0"/>
              <w:left w:val="single" w:color="000000" w:sz="4" w:space="0"/>
              <w:bottom w:val="single" w:color="auto" w:sz="4" w:space="0"/>
              <w:right w:val="single" w:color="000000" w:sz="4" w:space="0"/>
            </w:tcBorders>
            <w:vAlign w:val="center"/>
          </w:tcPr>
          <w:p w14:paraId="6567F3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sz w:val="20"/>
                <w:szCs w:val="20"/>
                <w:highlight w:val="none"/>
                <w:u w:val="none"/>
                <w:lang w:eastAsia="zh-CN"/>
              </w:rPr>
            </w:pPr>
            <w:r>
              <w:rPr>
                <w:rFonts w:hint="default" w:ascii="Times New Roman" w:hAnsi="Times New Roman" w:eastAsia="国标仿宋-GB/T 2312" w:cs="Times New Roman"/>
                <w:i w:val="0"/>
                <w:color w:val="auto"/>
                <w:spacing w:val="0"/>
                <w:sz w:val="20"/>
                <w:szCs w:val="20"/>
                <w:highlight w:val="none"/>
                <w:u w:val="none"/>
                <w:lang w:eastAsia="zh-CN"/>
              </w:rPr>
              <w:t>不予处罚</w:t>
            </w:r>
          </w:p>
        </w:tc>
        <w:tc>
          <w:tcPr>
            <w:tcW w:w="908" w:type="dxa"/>
            <w:vMerge w:val="restart"/>
            <w:tcBorders>
              <w:top w:val="single" w:color="auto" w:sz="4" w:space="0"/>
              <w:left w:val="single" w:color="000000" w:sz="4" w:space="0"/>
              <w:bottom w:val="single" w:color="auto" w:sz="4" w:space="0"/>
              <w:right w:val="single" w:color="000000" w:sz="4" w:space="0"/>
            </w:tcBorders>
            <w:vAlign w:val="center"/>
          </w:tcPr>
          <w:p w14:paraId="2608EB7C">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sz w:val="20"/>
                <w:szCs w:val="20"/>
                <w:highlight w:val="none"/>
                <w:u w:val="none"/>
                <w:lang w:val="en-US" w:eastAsia="zh-CN"/>
              </w:rPr>
            </w:pPr>
            <w:r>
              <w:rPr>
                <w:rFonts w:hint="default" w:ascii="Times New Roman" w:hAnsi="Times New Roman" w:eastAsia="国标仿宋-GB/T 2312" w:cs="Times New Roman"/>
                <w:i w:val="0"/>
                <w:color w:val="auto"/>
                <w:spacing w:val="0"/>
                <w:sz w:val="20"/>
                <w:szCs w:val="20"/>
                <w:highlight w:val="none"/>
                <w:u w:val="none"/>
                <w:lang w:val="en-US" w:eastAsia="zh-CN"/>
              </w:rPr>
              <w:t>30日内</w:t>
            </w:r>
          </w:p>
        </w:tc>
      </w:tr>
      <w:tr w14:paraId="47465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712" w:type="dxa"/>
            <w:vMerge w:val="continue"/>
            <w:tcBorders>
              <w:left w:val="single" w:color="000000" w:sz="4" w:space="0"/>
              <w:right w:val="single" w:color="auto" w:sz="4" w:space="0"/>
            </w:tcBorders>
            <w:vAlign w:val="center"/>
          </w:tcPr>
          <w:p w14:paraId="582CBB7E">
            <w:pPr>
              <w:keepNext w:val="0"/>
              <w:keepLines w:val="0"/>
              <w:pageBreakBefore w:val="0"/>
              <w:kinsoku/>
              <w:wordWrap/>
              <w:overflowPunct/>
              <w:topLinePunct w:val="0"/>
              <w:autoSpaceDE/>
              <w:autoSpaceDN/>
              <w:bidi w:val="0"/>
              <w:adjustRightInd w:val="0"/>
              <w:snapToGrid w:val="0"/>
              <w:jc w:val="both"/>
              <w:rPr>
                <w:rFonts w:hint="eastAsia" w:ascii="国标仿宋-GB/T 2312" w:hAnsi="国标仿宋-GB/T 2312" w:eastAsia="国标仿宋-GB/T 2312" w:cs="国标仿宋-GB/T 2312"/>
                <w:i w:val="0"/>
                <w:color w:val="auto"/>
                <w:spacing w:val="0"/>
                <w:kern w:val="0"/>
                <w:sz w:val="20"/>
                <w:szCs w:val="20"/>
                <w:highlight w:val="none"/>
                <w:u w:val="none"/>
                <w:lang w:val="en-US" w:eastAsia="zh-CN" w:bidi="ar"/>
              </w:rPr>
            </w:pPr>
          </w:p>
        </w:tc>
        <w:tc>
          <w:tcPr>
            <w:tcW w:w="1035" w:type="dxa"/>
            <w:vMerge w:val="continue"/>
            <w:tcBorders>
              <w:top w:val="single" w:color="auto" w:sz="4" w:space="0"/>
              <w:left w:val="single" w:color="auto" w:sz="4" w:space="0"/>
              <w:bottom w:val="single" w:color="auto" w:sz="4" w:space="0"/>
              <w:right w:val="single" w:color="000000" w:sz="4" w:space="0"/>
            </w:tcBorders>
            <w:vAlign w:val="center"/>
          </w:tcPr>
          <w:p w14:paraId="21A780B0">
            <w:pPr>
              <w:keepNext w:val="0"/>
              <w:keepLines w:val="0"/>
              <w:pageBreakBefore w:val="0"/>
              <w:kinsoku/>
              <w:wordWrap/>
              <w:overflowPunct/>
              <w:topLinePunct w:val="0"/>
              <w:autoSpaceDE/>
              <w:autoSpaceDN/>
              <w:bidi w:val="0"/>
              <w:adjustRightInd w:val="0"/>
              <w:snapToGrid w:val="0"/>
              <w:jc w:val="both"/>
              <w:rPr>
                <w:rFonts w:hint="eastAsia" w:ascii="国标仿宋-GB/T 2312" w:hAnsi="国标仿宋-GB/T 2312" w:eastAsia="国标仿宋-GB/T 2312" w:cs="国标仿宋-GB/T 2312"/>
                <w:i w:val="0"/>
                <w:color w:val="auto"/>
                <w:spacing w:val="0"/>
                <w:kern w:val="0"/>
                <w:sz w:val="20"/>
                <w:szCs w:val="20"/>
                <w:highlight w:val="none"/>
                <w:u w:val="none"/>
                <w:lang w:val="en-US" w:eastAsia="zh-CN" w:bidi="ar"/>
              </w:rPr>
            </w:pPr>
          </w:p>
        </w:tc>
        <w:tc>
          <w:tcPr>
            <w:tcW w:w="3492" w:type="dxa"/>
            <w:vMerge w:val="continue"/>
            <w:tcBorders>
              <w:top w:val="single" w:color="auto" w:sz="4" w:space="0"/>
              <w:left w:val="single" w:color="000000" w:sz="4" w:space="0"/>
              <w:bottom w:val="single" w:color="auto" w:sz="4" w:space="0"/>
              <w:right w:val="single" w:color="000000" w:sz="4" w:space="0"/>
            </w:tcBorders>
            <w:vAlign w:val="center"/>
          </w:tcPr>
          <w:p w14:paraId="7BB45E3D">
            <w:pPr>
              <w:keepNext w:val="0"/>
              <w:keepLines w:val="0"/>
              <w:pageBreakBefore w:val="0"/>
              <w:kinsoku/>
              <w:wordWrap/>
              <w:overflowPunct/>
              <w:topLinePunct w:val="0"/>
              <w:autoSpaceDE/>
              <w:autoSpaceDN/>
              <w:bidi w:val="0"/>
              <w:adjustRightInd w:val="0"/>
              <w:snapToGrid w:val="0"/>
              <w:ind w:firstLine="400" w:firstLineChars="200"/>
              <w:jc w:val="both"/>
              <w:rPr>
                <w:rFonts w:hint="eastAsia" w:ascii="国标仿宋-GB/T 2312" w:hAnsi="国标仿宋-GB/T 2312" w:eastAsia="国标仿宋-GB/T 2312" w:cs="国标仿宋-GB/T 2312"/>
                <w:i w:val="0"/>
                <w:color w:val="auto"/>
                <w:spacing w:val="0"/>
                <w:kern w:val="0"/>
                <w:sz w:val="20"/>
                <w:szCs w:val="20"/>
                <w:highlight w:val="none"/>
                <w:u w:val="none"/>
                <w:lang w:val="en-US" w:eastAsia="zh-CN" w:bidi="ar"/>
              </w:rPr>
            </w:pPr>
          </w:p>
        </w:tc>
        <w:tc>
          <w:tcPr>
            <w:tcW w:w="1109" w:type="dxa"/>
            <w:tcBorders>
              <w:top w:val="single" w:color="auto" w:sz="4" w:space="0"/>
              <w:left w:val="single" w:color="auto" w:sz="4" w:space="0"/>
              <w:bottom w:val="single" w:color="auto" w:sz="4" w:space="0"/>
              <w:right w:val="single" w:color="000000" w:sz="4" w:space="0"/>
            </w:tcBorders>
            <w:vAlign w:val="center"/>
          </w:tcPr>
          <w:p w14:paraId="300B37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免于处罚</w:t>
            </w:r>
          </w:p>
        </w:tc>
        <w:tc>
          <w:tcPr>
            <w:tcW w:w="1137" w:type="dxa"/>
            <w:tcBorders>
              <w:top w:val="single" w:color="auto" w:sz="4" w:space="0"/>
              <w:left w:val="single" w:color="000000" w:sz="4" w:space="0"/>
              <w:bottom w:val="single" w:color="auto" w:sz="4" w:space="0"/>
              <w:right w:val="single" w:color="000000" w:sz="4" w:space="0"/>
            </w:tcBorders>
            <w:vAlign w:val="center"/>
          </w:tcPr>
          <w:p w14:paraId="3F4CAC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责令限期履行义务</w:t>
            </w:r>
          </w:p>
        </w:tc>
        <w:tc>
          <w:tcPr>
            <w:tcW w:w="4143" w:type="dxa"/>
            <w:tcBorders>
              <w:top w:val="single" w:color="auto" w:sz="4" w:space="0"/>
              <w:left w:val="single" w:color="000000" w:sz="4" w:space="0"/>
              <w:bottom w:val="single" w:color="auto" w:sz="4" w:space="0"/>
              <w:right w:val="single" w:color="000000" w:sz="4" w:space="0"/>
            </w:tcBorders>
            <w:vAlign w:val="center"/>
          </w:tcPr>
          <w:p w14:paraId="32031DC2">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负有烈士遗属优待义务的单位不履行优待义务的，经责令限期履行义务后，主动及时整改到位，且主动消除社会影响的。</w:t>
            </w:r>
          </w:p>
        </w:tc>
        <w:tc>
          <w:tcPr>
            <w:tcW w:w="1124" w:type="dxa"/>
            <w:tcBorders>
              <w:top w:val="single" w:color="auto" w:sz="4" w:space="0"/>
              <w:left w:val="single" w:color="000000" w:sz="4" w:space="0"/>
              <w:bottom w:val="single" w:color="auto" w:sz="4" w:space="0"/>
              <w:right w:val="single" w:color="000000" w:sz="4" w:space="0"/>
            </w:tcBorders>
            <w:vAlign w:val="center"/>
          </w:tcPr>
          <w:p w14:paraId="30C750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sz w:val="20"/>
                <w:szCs w:val="20"/>
                <w:highlight w:val="none"/>
                <w:u w:val="none"/>
                <w:lang w:eastAsia="zh-CN"/>
              </w:rPr>
            </w:pPr>
            <w:r>
              <w:rPr>
                <w:rFonts w:hint="default" w:ascii="Times New Roman" w:hAnsi="Times New Roman" w:eastAsia="国标仿宋-GB/T 2312" w:cs="Times New Roman"/>
                <w:i w:val="0"/>
                <w:color w:val="auto"/>
                <w:spacing w:val="0"/>
                <w:sz w:val="20"/>
                <w:szCs w:val="20"/>
                <w:highlight w:val="none"/>
                <w:u w:val="none"/>
                <w:lang w:eastAsia="zh-CN"/>
              </w:rPr>
              <w:t>免于处罚</w:t>
            </w:r>
          </w:p>
        </w:tc>
        <w:tc>
          <w:tcPr>
            <w:tcW w:w="908" w:type="dxa"/>
            <w:vMerge w:val="continue"/>
            <w:tcBorders>
              <w:top w:val="single" w:color="auto" w:sz="4" w:space="0"/>
              <w:left w:val="single" w:color="000000" w:sz="4" w:space="0"/>
              <w:bottom w:val="single" w:color="auto" w:sz="4" w:space="0"/>
              <w:right w:val="single" w:color="000000" w:sz="4" w:space="0"/>
            </w:tcBorders>
            <w:vAlign w:val="center"/>
          </w:tcPr>
          <w:p w14:paraId="3CA35DFC">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国标仿宋-GB/T 2312" w:hAnsi="国标仿宋-GB/T 2312" w:eastAsia="国标仿宋-GB/T 2312" w:cs="国标仿宋-GB/T 2312"/>
                <w:i w:val="0"/>
                <w:color w:val="auto"/>
                <w:spacing w:val="0"/>
                <w:sz w:val="20"/>
                <w:szCs w:val="20"/>
                <w:highlight w:val="none"/>
                <w:u w:val="none"/>
                <w:lang w:val="en-US" w:eastAsia="zh-CN"/>
              </w:rPr>
            </w:pPr>
          </w:p>
        </w:tc>
      </w:tr>
      <w:tr w14:paraId="67EA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712" w:type="dxa"/>
            <w:vMerge w:val="continue"/>
            <w:tcBorders>
              <w:left w:val="single" w:color="000000" w:sz="4" w:space="0"/>
              <w:right w:val="single" w:color="auto" w:sz="4" w:space="0"/>
            </w:tcBorders>
            <w:vAlign w:val="center"/>
          </w:tcPr>
          <w:p w14:paraId="2DF1A5F3">
            <w:pPr>
              <w:keepNext w:val="0"/>
              <w:keepLines w:val="0"/>
              <w:pageBreakBefore w:val="0"/>
              <w:kinsoku/>
              <w:wordWrap/>
              <w:overflowPunct/>
              <w:topLinePunct w:val="0"/>
              <w:autoSpaceDE/>
              <w:autoSpaceDN/>
              <w:bidi w:val="0"/>
              <w:adjustRightInd w:val="0"/>
              <w:snapToGrid w:val="0"/>
              <w:jc w:val="both"/>
              <w:rPr>
                <w:rFonts w:hint="eastAsia" w:ascii="国标仿宋-GB/T 2312" w:hAnsi="国标仿宋-GB/T 2312" w:eastAsia="国标仿宋-GB/T 2312" w:cs="国标仿宋-GB/T 2312"/>
                <w:i w:val="0"/>
                <w:color w:val="auto"/>
                <w:spacing w:val="0"/>
                <w:kern w:val="0"/>
                <w:sz w:val="20"/>
                <w:szCs w:val="20"/>
                <w:highlight w:val="none"/>
                <w:u w:val="none"/>
                <w:lang w:val="en-US" w:eastAsia="zh-CN" w:bidi="ar"/>
              </w:rPr>
            </w:pPr>
          </w:p>
        </w:tc>
        <w:tc>
          <w:tcPr>
            <w:tcW w:w="1035" w:type="dxa"/>
            <w:vMerge w:val="continue"/>
            <w:tcBorders>
              <w:top w:val="single" w:color="auto" w:sz="4" w:space="0"/>
              <w:left w:val="single" w:color="auto" w:sz="4" w:space="0"/>
              <w:bottom w:val="single" w:color="auto" w:sz="4" w:space="0"/>
              <w:right w:val="single" w:color="000000" w:sz="4" w:space="0"/>
            </w:tcBorders>
            <w:vAlign w:val="center"/>
          </w:tcPr>
          <w:p w14:paraId="391862E8">
            <w:pPr>
              <w:keepNext w:val="0"/>
              <w:keepLines w:val="0"/>
              <w:pageBreakBefore w:val="0"/>
              <w:kinsoku/>
              <w:wordWrap/>
              <w:overflowPunct/>
              <w:topLinePunct w:val="0"/>
              <w:autoSpaceDE/>
              <w:autoSpaceDN/>
              <w:bidi w:val="0"/>
              <w:adjustRightInd w:val="0"/>
              <w:snapToGrid w:val="0"/>
              <w:jc w:val="both"/>
              <w:rPr>
                <w:rFonts w:hint="eastAsia" w:ascii="国标仿宋-GB/T 2312" w:hAnsi="国标仿宋-GB/T 2312" w:eastAsia="国标仿宋-GB/T 2312" w:cs="国标仿宋-GB/T 2312"/>
                <w:i w:val="0"/>
                <w:color w:val="auto"/>
                <w:spacing w:val="0"/>
                <w:kern w:val="0"/>
                <w:sz w:val="20"/>
                <w:szCs w:val="20"/>
                <w:highlight w:val="none"/>
                <w:u w:val="none"/>
                <w:lang w:val="en-US" w:eastAsia="zh-CN" w:bidi="ar"/>
              </w:rPr>
            </w:pPr>
          </w:p>
        </w:tc>
        <w:tc>
          <w:tcPr>
            <w:tcW w:w="3492" w:type="dxa"/>
            <w:vMerge w:val="continue"/>
            <w:tcBorders>
              <w:top w:val="single" w:color="auto" w:sz="4" w:space="0"/>
              <w:left w:val="single" w:color="000000" w:sz="4" w:space="0"/>
              <w:bottom w:val="single" w:color="auto" w:sz="4" w:space="0"/>
              <w:right w:val="single" w:color="000000" w:sz="4" w:space="0"/>
            </w:tcBorders>
            <w:vAlign w:val="center"/>
          </w:tcPr>
          <w:p w14:paraId="7955546A">
            <w:pPr>
              <w:keepNext w:val="0"/>
              <w:keepLines w:val="0"/>
              <w:pageBreakBefore w:val="0"/>
              <w:kinsoku/>
              <w:wordWrap/>
              <w:overflowPunct/>
              <w:topLinePunct w:val="0"/>
              <w:autoSpaceDE/>
              <w:autoSpaceDN/>
              <w:bidi w:val="0"/>
              <w:adjustRightInd w:val="0"/>
              <w:snapToGrid w:val="0"/>
              <w:ind w:firstLine="400" w:firstLineChars="200"/>
              <w:jc w:val="both"/>
              <w:rPr>
                <w:rFonts w:hint="eastAsia" w:ascii="国标仿宋-GB/T 2312" w:hAnsi="国标仿宋-GB/T 2312" w:eastAsia="国标仿宋-GB/T 2312" w:cs="国标仿宋-GB/T 2312"/>
                <w:i w:val="0"/>
                <w:color w:val="auto"/>
                <w:spacing w:val="0"/>
                <w:kern w:val="0"/>
                <w:sz w:val="20"/>
                <w:szCs w:val="20"/>
                <w:highlight w:val="none"/>
                <w:u w:val="none"/>
                <w:lang w:val="en-US" w:eastAsia="zh-CN" w:bidi="ar"/>
              </w:rPr>
            </w:pPr>
          </w:p>
        </w:tc>
        <w:tc>
          <w:tcPr>
            <w:tcW w:w="1109" w:type="dxa"/>
            <w:tcBorders>
              <w:top w:val="single" w:color="auto" w:sz="4" w:space="0"/>
              <w:left w:val="single" w:color="auto" w:sz="4" w:space="0"/>
              <w:bottom w:val="single" w:color="auto" w:sz="4" w:space="0"/>
              <w:right w:val="single" w:color="000000" w:sz="4" w:space="0"/>
            </w:tcBorders>
            <w:vAlign w:val="center"/>
          </w:tcPr>
          <w:p w14:paraId="30696C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减轻处罚</w:t>
            </w:r>
          </w:p>
        </w:tc>
        <w:tc>
          <w:tcPr>
            <w:tcW w:w="1137" w:type="dxa"/>
            <w:tcBorders>
              <w:top w:val="single" w:color="auto" w:sz="4" w:space="0"/>
              <w:left w:val="single" w:color="000000" w:sz="4" w:space="0"/>
              <w:bottom w:val="single" w:color="auto" w:sz="4" w:space="0"/>
              <w:right w:val="single" w:color="000000" w:sz="4" w:space="0"/>
            </w:tcBorders>
            <w:vAlign w:val="center"/>
          </w:tcPr>
          <w:p w14:paraId="3A604E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罚款</w:t>
            </w:r>
          </w:p>
        </w:tc>
        <w:tc>
          <w:tcPr>
            <w:tcW w:w="4143" w:type="dxa"/>
            <w:tcBorders>
              <w:top w:val="single" w:color="auto" w:sz="4" w:space="0"/>
              <w:left w:val="single" w:color="000000" w:sz="4" w:space="0"/>
              <w:bottom w:val="single" w:color="auto" w:sz="4" w:space="0"/>
              <w:right w:val="single" w:color="000000" w:sz="4" w:space="0"/>
            </w:tcBorders>
            <w:vAlign w:val="center"/>
          </w:tcPr>
          <w:p w14:paraId="56F8020E">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负有烈士遗属优待义务的单位不履行优待义务，责令限期履行义务而逾期仍未履行，延长时限后整改到位，且造成社会影响轻微的。</w:t>
            </w:r>
          </w:p>
        </w:tc>
        <w:tc>
          <w:tcPr>
            <w:tcW w:w="1124" w:type="dxa"/>
            <w:tcBorders>
              <w:top w:val="single" w:color="auto" w:sz="4" w:space="0"/>
              <w:left w:val="single" w:color="000000" w:sz="4" w:space="0"/>
              <w:bottom w:val="single" w:color="auto" w:sz="4" w:space="0"/>
              <w:right w:val="single" w:color="000000" w:sz="4" w:space="0"/>
            </w:tcBorders>
            <w:vAlign w:val="center"/>
          </w:tcPr>
          <w:p w14:paraId="7F92BB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sz w:val="20"/>
                <w:szCs w:val="20"/>
                <w:highlight w:val="none"/>
                <w:u w:val="none"/>
                <w:lang w:eastAsia="zh-CN"/>
              </w:rPr>
            </w:pPr>
            <w:r>
              <w:rPr>
                <w:rFonts w:hint="default" w:ascii="Times New Roman" w:hAnsi="Times New Roman" w:eastAsia="国标仿宋-GB/T 2312" w:cs="Times New Roman"/>
                <w:i w:val="0"/>
                <w:color w:val="auto"/>
                <w:spacing w:val="0"/>
                <w:sz w:val="20"/>
                <w:szCs w:val="20"/>
                <w:highlight w:val="none"/>
                <w:u w:val="none"/>
                <w:lang w:eastAsia="zh-CN"/>
              </w:rPr>
              <w:t>处</w:t>
            </w:r>
            <w:r>
              <w:rPr>
                <w:rFonts w:hint="default" w:ascii="Times New Roman" w:hAnsi="Times New Roman" w:eastAsia="国标仿宋-GB/T 2312" w:cs="Times New Roman"/>
                <w:i w:val="0"/>
                <w:color w:val="auto"/>
                <w:spacing w:val="0"/>
                <w:sz w:val="20"/>
                <w:szCs w:val="20"/>
                <w:highlight w:val="none"/>
                <w:u w:val="none"/>
                <w:lang w:val="en-US" w:eastAsia="zh-CN"/>
              </w:rPr>
              <w:t>1万元的罚款</w:t>
            </w:r>
          </w:p>
        </w:tc>
        <w:tc>
          <w:tcPr>
            <w:tcW w:w="908" w:type="dxa"/>
            <w:vMerge w:val="continue"/>
            <w:tcBorders>
              <w:top w:val="single" w:color="auto" w:sz="4" w:space="0"/>
              <w:left w:val="single" w:color="000000" w:sz="4" w:space="0"/>
              <w:bottom w:val="single" w:color="auto" w:sz="4" w:space="0"/>
              <w:right w:val="single" w:color="000000" w:sz="4" w:space="0"/>
            </w:tcBorders>
            <w:vAlign w:val="center"/>
          </w:tcPr>
          <w:p w14:paraId="4D044640">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国标仿宋-GB/T 2312" w:hAnsi="国标仿宋-GB/T 2312" w:eastAsia="国标仿宋-GB/T 2312" w:cs="国标仿宋-GB/T 2312"/>
                <w:i w:val="0"/>
                <w:color w:val="auto"/>
                <w:spacing w:val="0"/>
                <w:sz w:val="20"/>
                <w:szCs w:val="20"/>
                <w:highlight w:val="none"/>
                <w:u w:val="none"/>
                <w:lang w:val="en-US" w:eastAsia="zh-CN"/>
              </w:rPr>
            </w:pPr>
          </w:p>
        </w:tc>
      </w:tr>
      <w:tr w14:paraId="2F66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jc w:val="center"/>
        </w:trPr>
        <w:tc>
          <w:tcPr>
            <w:tcW w:w="712" w:type="dxa"/>
            <w:vMerge w:val="continue"/>
            <w:tcBorders>
              <w:top w:val="single" w:color="auto" w:sz="4" w:space="0"/>
              <w:left w:val="single" w:color="000000" w:sz="4" w:space="0"/>
              <w:bottom w:val="single" w:color="auto" w:sz="4" w:space="0"/>
              <w:right w:val="single" w:color="auto" w:sz="4" w:space="0"/>
            </w:tcBorders>
            <w:vAlign w:val="center"/>
          </w:tcPr>
          <w:p w14:paraId="0E48EC01">
            <w:pPr>
              <w:keepNext w:val="0"/>
              <w:keepLines w:val="0"/>
              <w:pageBreakBefore w:val="0"/>
              <w:kinsoku/>
              <w:wordWrap/>
              <w:overflowPunct/>
              <w:topLinePunct w:val="0"/>
              <w:autoSpaceDE/>
              <w:autoSpaceDN/>
              <w:bidi w:val="0"/>
              <w:adjustRightInd w:val="0"/>
              <w:snapToGrid w:val="0"/>
              <w:jc w:val="both"/>
              <w:rPr>
                <w:rFonts w:hint="eastAsia" w:ascii="国标仿宋-GB/T 2312" w:hAnsi="国标仿宋-GB/T 2312" w:eastAsia="国标仿宋-GB/T 2312" w:cs="国标仿宋-GB/T 2312"/>
                <w:i w:val="0"/>
                <w:color w:val="auto"/>
                <w:spacing w:val="0"/>
                <w:kern w:val="0"/>
                <w:sz w:val="20"/>
                <w:szCs w:val="20"/>
                <w:highlight w:val="none"/>
                <w:u w:val="none"/>
                <w:lang w:val="en-US" w:eastAsia="zh-CN" w:bidi="ar"/>
              </w:rPr>
            </w:pPr>
          </w:p>
        </w:tc>
        <w:tc>
          <w:tcPr>
            <w:tcW w:w="1035" w:type="dxa"/>
            <w:vMerge w:val="continue"/>
            <w:tcBorders>
              <w:top w:val="single" w:color="auto" w:sz="4" w:space="0"/>
              <w:left w:val="single" w:color="auto" w:sz="4" w:space="0"/>
              <w:bottom w:val="single" w:color="auto" w:sz="4" w:space="0"/>
              <w:right w:val="single" w:color="000000" w:sz="4" w:space="0"/>
            </w:tcBorders>
            <w:vAlign w:val="center"/>
          </w:tcPr>
          <w:p w14:paraId="3CFFE1F8">
            <w:pPr>
              <w:keepNext w:val="0"/>
              <w:keepLines w:val="0"/>
              <w:pageBreakBefore w:val="0"/>
              <w:kinsoku/>
              <w:wordWrap/>
              <w:overflowPunct/>
              <w:topLinePunct w:val="0"/>
              <w:autoSpaceDE/>
              <w:autoSpaceDN/>
              <w:bidi w:val="0"/>
              <w:adjustRightInd w:val="0"/>
              <w:snapToGrid w:val="0"/>
              <w:jc w:val="both"/>
              <w:rPr>
                <w:rFonts w:hint="eastAsia" w:ascii="国标仿宋-GB/T 2312" w:hAnsi="国标仿宋-GB/T 2312" w:eastAsia="国标仿宋-GB/T 2312" w:cs="国标仿宋-GB/T 2312"/>
                <w:i w:val="0"/>
                <w:color w:val="auto"/>
                <w:spacing w:val="0"/>
                <w:kern w:val="0"/>
                <w:sz w:val="20"/>
                <w:szCs w:val="20"/>
                <w:highlight w:val="none"/>
                <w:u w:val="none"/>
                <w:lang w:val="en-US" w:eastAsia="zh-CN" w:bidi="ar"/>
              </w:rPr>
            </w:pPr>
          </w:p>
        </w:tc>
        <w:tc>
          <w:tcPr>
            <w:tcW w:w="3492" w:type="dxa"/>
            <w:vMerge w:val="continue"/>
            <w:tcBorders>
              <w:top w:val="single" w:color="auto" w:sz="4" w:space="0"/>
              <w:left w:val="single" w:color="000000" w:sz="4" w:space="0"/>
              <w:bottom w:val="single" w:color="auto" w:sz="4" w:space="0"/>
              <w:right w:val="single" w:color="000000" w:sz="4" w:space="0"/>
            </w:tcBorders>
            <w:vAlign w:val="center"/>
          </w:tcPr>
          <w:p w14:paraId="37B20941">
            <w:pPr>
              <w:keepNext w:val="0"/>
              <w:keepLines w:val="0"/>
              <w:pageBreakBefore w:val="0"/>
              <w:kinsoku/>
              <w:wordWrap/>
              <w:overflowPunct/>
              <w:topLinePunct w:val="0"/>
              <w:autoSpaceDE/>
              <w:autoSpaceDN/>
              <w:bidi w:val="0"/>
              <w:adjustRightInd w:val="0"/>
              <w:snapToGrid w:val="0"/>
              <w:ind w:firstLine="400" w:firstLineChars="200"/>
              <w:jc w:val="both"/>
              <w:rPr>
                <w:rFonts w:hint="eastAsia" w:ascii="国标仿宋-GB/T 2312" w:hAnsi="国标仿宋-GB/T 2312" w:eastAsia="国标仿宋-GB/T 2312" w:cs="国标仿宋-GB/T 2312"/>
                <w:i w:val="0"/>
                <w:color w:val="auto"/>
                <w:spacing w:val="0"/>
                <w:kern w:val="0"/>
                <w:sz w:val="20"/>
                <w:szCs w:val="20"/>
                <w:highlight w:val="none"/>
                <w:u w:val="none"/>
                <w:lang w:val="en-US" w:eastAsia="zh-CN" w:bidi="ar"/>
              </w:rPr>
            </w:pPr>
          </w:p>
        </w:tc>
        <w:tc>
          <w:tcPr>
            <w:tcW w:w="1109" w:type="dxa"/>
            <w:tcBorders>
              <w:top w:val="single" w:color="auto" w:sz="4" w:space="0"/>
              <w:left w:val="single" w:color="auto" w:sz="4" w:space="0"/>
              <w:bottom w:val="single" w:color="auto" w:sz="4" w:space="0"/>
              <w:right w:val="single" w:color="000000" w:sz="4" w:space="0"/>
            </w:tcBorders>
            <w:vAlign w:val="center"/>
          </w:tcPr>
          <w:p w14:paraId="729C4A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从轻处罚</w:t>
            </w:r>
          </w:p>
        </w:tc>
        <w:tc>
          <w:tcPr>
            <w:tcW w:w="1137" w:type="dxa"/>
            <w:tcBorders>
              <w:top w:val="single" w:color="auto" w:sz="4" w:space="0"/>
              <w:left w:val="single" w:color="000000" w:sz="4" w:space="0"/>
              <w:bottom w:val="single" w:color="auto" w:sz="4" w:space="0"/>
              <w:right w:val="single" w:color="000000" w:sz="4" w:space="0"/>
            </w:tcBorders>
            <w:vAlign w:val="center"/>
          </w:tcPr>
          <w:p w14:paraId="73FAD5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罚款</w:t>
            </w:r>
          </w:p>
        </w:tc>
        <w:tc>
          <w:tcPr>
            <w:tcW w:w="4143" w:type="dxa"/>
            <w:tcBorders>
              <w:top w:val="single" w:color="auto" w:sz="4" w:space="0"/>
              <w:left w:val="single" w:color="000000" w:sz="4" w:space="0"/>
              <w:bottom w:val="single" w:color="auto" w:sz="4" w:space="0"/>
              <w:right w:val="single" w:color="000000" w:sz="4" w:space="0"/>
            </w:tcBorders>
            <w:vAlign w:val="center"/>
          </w:tcPr>
          <w:p w14:paraId="4ECCCCFB">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负有烈士遗属优待义务的单位不履行优待义务，责令限期履行义务而逾期仍未履行，延长整改时限仍不履行，且造成社会影响轻微的。</w:t>
            </w:r>
          </w:p>
        </w:tc>
        <w:tc>
          <w:tcPr>
            <w:tcW w:w="1124" w:type="dxa"/>
            <w:tcBorders>
              <w:top w:val="single" w:color="auto" w:sz="4" w:space="0"/>
              <w:left w:val="single" w:color="000000" w:sz="4" w:space="0"/>
              <w:bottom w:val="single" w:color="auto" w:sz="4" w:space="0"/>
              <w:right w:val="single" w:color="000000" w:sz="4" w:space="0"/>
            </w:tcBorders>
            <w:vAlign w:val="center"/>
          </w:tcPr>
          <w:p w14:paraId="07C2CBCB">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sz w:val="20"/>
                <w:szCs w:val="20"/>
                <w:highlight w:val="none"/>
                <w:u w:val="none"/>
                <w:lang w:val="en-US"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处以2万元的罚款</w:t>
            </w:r>
          </w:p>
        </w:tc>
        <w:tc>
          <w:tcPr>
            <w:tcW w:w="908" w:type="dxa"/>
            <w:vMerge w:val="continue"/>
            <w:tcBorders>
              <w:top w:val="single" w:color="auto" w:sz="4" w:space="0"/>
              <w:left w:val="single" w:color="000000" w:sz="4" w:space="0"/>
              <w:bottom w:val="single" w:color="auto" w:sz="4" w:space="0"/>
              <w:right w:val="single" w:color="000000" w:sz="4" w:space="0"/>
            </w:tcBorders>
            <w:vAlign w:val="center"/>
          </w:tcPr>
          <w:p w14:paraId="38B7F25B">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国标仿宋-GB/T 2312" w:hAnsi="国标仿宋-GB/T 2312" w:eastAsia="国标仿宋-GB/T 2312" w:cs="国标仿宋-GB/T 2312"/>
                <w:i w:val="0"/>
                <w:color w:val="auto"/>
                <w:spacing w:val="0"/>
                <w:sz w:val="20"/>
                <w:szCs w:val="20"/>
                <w:highlight w:val="none"/>
                <w:u w:val="none"/>
                <w:lang w:val="en-US" w:eastAsia="zh-CN"/>
              </w:rPr>
            </w:pPr>
          </w:p>
        </w:tc>
      </w:tr>
      <w:tr w14:paraId="735D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jc w:val="center"/>
        </w:trPr>
        <w:tc>
          <w:tcPr>
            <w:tcW w:w="712" w:type="dxa"/>
            <w:vMerge w:val="continue"/>
            <w:tcBorders>
              <w:top w:val="single" w:color="auto" w:sz="4" w:space="0"/>
              <w:left w:val="single" w:color="000000" w:sz="4" w:space="0"/>
              <w:bottom w:val="single" w:color="auto" w:sz="4" w:space="0"/>
              <w:right w:val="single" w:color="auto" w:sz="4" w:space="0"/>
            </w:tcBorders>
            <w:vAlign w:val="center"/>
          </w:tcPr>
          <w:p w14:paraId="3273650C">
            <w:pPr>
              <w:keepNext w:val="0"/>
              <w:keepLines w:val="0"/>
              <w:pageBreakBefore w:val="0"/>
              <w:kinsoku/>
              <w:wordWrap/>
              <w:overflowPunct/>
              <w:topLinePunct w:val="0"/>
              <w:autoSpaceDE/>
              <w:autoSpaceDN/>
              <w:bidi w:val="0"/>
              <w:adjustRightInd w:val="0"/>
              <w:snapToGrid w:val="0"/>
              <w:jc w:val="both"/>
              <w:rPr>
                <w:rFonts w:hint="eastAsia" w:ascii="国标仿宋-GB/T 2312" w:hAnsi="国标仿宋-GB/T 2312" w:eastAsia="国标仿宋-GB/T 2312" w:cs="国标仿宋-GB/T 2312"/>
                <w:i w:val="0"/>
                <w:color w:val="auto"/>
                <w:spacing w:val="0"/>
                <w:kern w:val="0"/>
                <w:sz w:val="20"/>
                <w:szCs w:val="20"/>
                <w:highlight w:val="none"/>
                <w:u w:val="none"/>
                <w:lang w:val="en-US" w:eastAsia="zh-CN" w:bidi="ar"/>
              </w:rPr>
            </w:pPr>
          </w:p>
        </w:tc>
        <w:tc>
          <w:tcPr>
            <w:tcW w:w="1035" w:type="dxa"/>
            <w:vMerge w:val="continue"/>
            <w:tcBorders>
              <w:top w:val="single" w:color="auto" w:sz="4" w:space="0"/>
              <w:left w:val="single" w:color="auto" w:sz="4" w:space="0"/>
              <w:bottom w:val="single" w:color="auto" w:sz="4" w:space="0"/>
              <w:right w:val="single" w:color="000000" w:sz="4" w:space="0"/>
            </w:tcBorders>
            <w:vAlign w:val="center"/>
          </w:tcPr>
          <w:p w14:paraId="60846197">
            <w:pPr>
              <w:keepNext w:val="0"/>
              <w:keepLines w:val="0"/>
              <w:pageBreakBefore w:val="0"/>
              <w:kinsoku/>
              <w:wordWrap/>
              <w:overflowPunct/>
              <w:topLinePunct w:val="0"/>
              <w:autoSpaceDE/>
              <w:autoSpaceDN/>
              <w:bidi w:val="0"/>
              <w:adjustRightInd w:val="0"/>
              <w:snapToGrid w:val="0"/>
              <w:jc w:val="both"/>
              <w:rPr>
                <w:rFonts w:hint="eastAsia" w:ascii="国标仿宋-GB/T 2312" w:hAnsi="国标仿宋-GB/T 2312" w:eastAsia="国标仿宋-GB/T 2312" w:cs="国标仿宋-GB/T 2312"/>
                <w:i w:val="0"/>
                <w:color w:val="auto"/>
                <w:spacing w:val="0"/>
                <w:kern w:val="0"/>
                <w:sz w:val="20"/>
                <w:szCs w:val="20"/>
                <w:highlight w:val="none"/>
                <w:u w:val="none"/>
                <w:lang w:val="en-US" w:eastAsia="zh-CN" w:bidi="ar"/>
              </w:rPr>
            </w:pPr>
          </w:p>
        </w:tc>
        <w:tc>
          <w:tcPr>
            <w:tcW w:w="3492" w:type="dxa"/>
            <w:vMerge w:val="continue"/>
            <w:tcBorders>
              <w:top w:val="single" w:color="auto" w:sz="4" w:space="0"/>
              <w:left w:val="single" w:color="000000" w:sz="4" w:space="0"/>
              <w:bottom w:val="single" w:color="auto" w:sz="4" w:space="0"/>
              <w:right w:val="single" w:color="000000" w:sz="4" w:space="0"/>
            </w:tcBorders>
            <w:vAlign w:val="center"/>
          </w:tcPr>
          <w:p w14:paraId="7380E387">
            <w:pPr>
              <w:keepNext w:val="0"/>
              <w:keepLines w:val="0"/>
              <w:pageBreakBefore w:val="0"/>
              <w:kinsoku/>
              <w:wordWrap/>
              <w:overflowPunct/>
              <w:topLinePunct w:val="0"/>
              <w:autoSpaceDE/>
              <w:autoSpaceDN/>
              <w:bidi w:val="0"/>
              <w:adjustRightInd w:val="0"/>
              <w:snapToGrid w:val="0"/>
              <w:jc w:val="both"/>
              <w:rPr>
                <w:rFonts w:hint="eastAsia" w:ascii="国标仿宋-GB/T 2312" w:hAnsi="国标仿宋-GB/T 2312" w:eastAsia="国标仿宋-GB/T 2312" w:cs="国标仿宋-GB/T 2312"/>
                <w:i w:val="0"/>
                <w:color w:val="auto"/>
                <w:spacing w:val="0"/>
                <w:kern w:val="0"/>
                <w:sz w:val="20"/>
                <w:szCs w:val="20"/>
                <w:highlight w:val="none"/>
                <w:u w:val="none"/>
                <w:lang w:val="en-US" w:eastAsia="zh-CN" w:bidi="ar"/>
              </w:rPr>
            </w:pPr>
          </w:p>
        </w:tc>
        <w:tc>
          <w:tcPr>
            <w:tcW w:w="1109" w:type="dxa"/>
            <w:tcBorders>
              <w:top w:val="single" w:color="auto" w:sz="4" w:space="0"/>
              <w:left w:val="single" w:color="auto" w:sz="4" w:space="0"/>
              <w:bottom w:val="single" w:color="auto" w:sz="4" w:space="0"/>
              <w:right w:val="single" w:color="000000" w:sz="4" w:space="0"/>
            </w:tcBorders>
            <w:vAlign w:val="center"/>
          </w:tcPr>
          <w:p w14:paraId="07740B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一般处罚</w:t>
            </w:r>
          </w:p>
        </w:tc>
        <w:tc>
          <w:tcPr>
            <w:tcW w:w="1137" w:type="dxa"/>
            <w:tcBorders>
              <w:top w:val="single" w:color="auto" w:sz="4" w:space="0"/>
              <w:left w:val="single" w:color="000000" w:sz="4" w:space="0"/>
              <w:bottom w:val="single" w:color="auto" w:sz="4" w:space="0"/>
              <w:right w:val="single" w:color="000000" w:sz="4" w:space="0"/>
            </w:tcBorders>
            <w:vAlign w:val="center"/>
          </w:tcPr>
          <w:p w14:paraId="51261E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罚款</w:t>
            </w:r>
          </w:p>
        </w:tc>
        <w:tc>
          <w:tcPr>
            <w:tcW w:w="4143" w:type="dxa"/>
            <w:tcBorders>
              <w:top w:val="single" w:color="auto" w:sz="4" w:space="0"/>
              <w:left w:val="single" w:color="000000" w:sz="4" w:space="0"/>
              <w:bottom w:val="single" w:color="auto" w:sz="4" w:space="0"/>
              <w:right w:val="single" w:color="000000" w:sz="4" w:space="0"/>
            </w:tcBorders>
            <w:vAlign w:val="center"/>
          </w:tcPr>
          <w:p w14:paraId="161B050F">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负有烈士遗属优待义务的单位不履行优待义务，责令限期履行义务而逾期仍未履行，延长整改时限仍未履行，且造成社会影响较大的。</w:t>
            </w:r>
          </w:p>
        </w:tc>
        <w:tc>
          <w:tcPr>
            <w:tcW w:w="1124" w:type="dxa"/>
            <w:tcBorders>
              <w:top w:val="single" w:color="auto" w:sz="4" w:space="0"/>
              <w:left w:val="single" w:color="000000" w:sz="4" w:space="0"/>
              <w:bottom w:val="single" w:color="auto" w:sz="4" w:space="0"/>
              <w:right w:val="single" w:color="000000" w:sz="4" w:space="0"/>
            </w:tcBorders>
            <w:vAlign w:val="center"/>
          </w:tcPr>
          <w:p w14:paraId="77DC7558">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国标仿宋-GB/T 2312" w:cs="Times New Roman"/>
                <w:i w:val="0"/>
                <w:color w:val="auto"/>
                <w:spacing w:val="0"/>
                <w:sz w:val="20"/>
                <w:szCs w:val="20"/>
                <w:highlight w:val="none"/>
                <w:u w:val="none"/>
                <w:lang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处以3.5万元以下的罚款</w:t>
            </w:r>
          </w:p>
        </w:tc>
        <w:tc>
          <w:tcPr>
            <w:tcW w:w="908" w:type="dxa"/>
            <w:vMerge w:val="continue"/>
            <w:tcBorders>
              <w:top w:val="single" w:color="auto" w:sz="4" w:space="0"/>
              <w:left w:val="single" w:color="000000" w:sz="4" w:space="0"/>
              <w:bottom w:val="single" w:color="auto" w:sz="4" w:space="0"/>
              <w:right w:val="single" w:color="000000" w:sz="4" w:space="0"/>
            </w:tcBorders>
            <w:vAlign w:val="center"/>
          </w:tcPr>
          <w:p w14:paraId="627445AB">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国标仿宋-GB/T 2312" w:hAnsi="国标仿宋-GB/T 2312" w:eastAsia="国标仿宋-GB/T 2312" w:cs="国标仿宋-GB/T 2312"/>
                <w:i w:val="0"/>
                <w:color w:val="auto"/>
                <w:spacing w:val="0"/>
                <w:sz w:val="20"/>
                <w:szCs w:val="20"/>
                <w:highlight w:val="none"/>
                <w:u w:val="none"/>
              </w:rPr>
            </w:pPr>
          </w:p>
        </w:tc>
      </w:tr>
      <w:tr w14:paraId="6A1F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712" w:type="dxa"/>
            <w:vMerge w:val="continue"/>
            <w:tcBorders>
              <w:top w:val="single" w:color="auto" w:sz="4" w:space="0"/>
              <w:left w:val="single" w:color="000000" w:sz="4" w:space="0"/>
              <w:bottom w:val="single" w:color="auto" w:sz="4" w:space="0"/>
              <w:right w:val="single" w:color="auto" w:sz="4" w:space="0"/>
            </w:tcBorders>
            <w:vAlign w:val="center"/>
          </w:tcPr>
          <w:p w14:paraId="5C4B7E2F">
            <w:pPr>
              <w:keepNext w:val="0"/>
              <w:keepLines w:val="0"/>
              <w:pageBreakBefore w:val="0"/>
              <w:kinsoku/>
              <w:wordWrap/>
              <w:overflowPunct/>
              <w:topLinePunct w:val="0"/>
              <w:autoSpaceDE/>
              <w:autoSpaceDN/>
              <w:bidi w:val="0"/>
              <w:adjustRightInd w:val="0"/>
              <w:snapToGrid w:val="0"/>
              <w:jc w:val="both"/>
              <w:rPr>
                <w:rFonts w:hint="eastAsia" w:ascii="国标仿宋-GB/T 2312" w:hAnsi="国标仿宋-GB/T 2312" w:eastAsia="国标仿宋-GB/T 2312" w:cs="国标仿宋-GB/T 2312"/>
                <w:i w:val="0"/>
                <w:color w:val="auto"/>
                <w:spacing w:val="0"/>
                <w:kern w:val="0"/>
                <w:sz w:val="20"/>
                <w:szCs w:val="20"/>
                <w:highlight w:val="none"/>
                <w:u w:val="none"/>
                <w:lang w:val="en-US" w:eastAsia="zh-CN" w:bidi="ar"/>
              </w:rPr>
            </w:pPr>
          </w:p>
        </w:tc>
        <w:tc>
          <w:tcPr>
            <w:tcW w:w="1035" w:type="dxa"/>
            <w:vMerge w:val="continue"/>
            <w:tcBorders>
              <w:top w:val="single" w:color="auto" w:sz="4" w:space="0"/>
              <w:left w:val="single" w:color="auto" w:sz="4" w:space="0"/>
              <w:bottom w:val="single" w:color="auto" w:sz="4" w:space="0"/>
              <w:right w:val="single" w:color="000000" w:sz="4" w:space="0"/>
            </w:tcBorders>
            <w:vAlign w:val="center"/>
          </w:tcPr>
          <w:p w14:paraId="7F1F28EE">
            <w:pPr>
              <w:keepNext w:val="0"/>
              <w:keepLines w:val="0"/>
              <w:pageBreakBefore w:val="0"/>
              <w:kinsoku/>
              <w:wordWrap/>
              <w:overflowPunct/>
              <w:topLinePunct w:val="0"/>
              <w:autoSpaceDE/>
              <w:autoSpaceDN/>
              <w:bidi w:val="0"/>
              <w:adjustRightInd w:val="0"/>
              <w:snapToGrid w:val="0"/>
              <w:jc w:val="both"/>
              <w:rPr>
                <w:rFonts w:hint="eastAsia" w:ascii="国标仿宋-GB/T 2312" w:hAnsi="国标仿宋-GB/T 2312" w:eastAsia="国标仿宋-GB/T 2312" w:cs="国标仿宋-GB/T 2312"/>
                <w:i w:val="0"/>
                <w:color w:val="auto"/>
                <w:spacing w:val="0"/>
                <w:kern w:val="0"/>
                <w:sz w:val="20"/>
                <w:szCs w:val="20"/>
                <w:highlight w:val="none"/>
                <w:u w:val="none"/>
                <w:lang w:val="en-US" w:eastAsia="zh-CN" w:bidi="ar"/>
              </w:rPr>
            </w:pPr>
          </w:p>
        </w:tc>
        <w:tc>
          <w:tcPr>
            <w:tcW w:w="3492" w:type="dxa"/>
            <w:vMerge w:val="continue"/>
            <w:tcBorders>
              <w:top w:val="single" w:color="auto" w:sz="4" w:space="0"/>
              <w:left w:val="single" w:color="000000" w:sz="4" w:space="0"/>
              <w:bottom w:val="single" w:color="auto" w:sz="4" w:space="0"/>
              <w:right w:val="single" w:color="000000" w:sz="4" w:space="0"/>
            </w:tcBorders>
            <w:vAlign w:val="center"/>
          </w:tcPr>
          <w:p w14:paraId="7CD17F9A">
            <w:pPr>
              <w:keepNext w:val="0"/>
              <w:keepLines w:val="0"/>
              <w:pageBreakBefore w:val="0"/>
              <w:kinsoku/>
              <w:wordWrap/>
              <w:overflowPunct/>
              <w:topLinePunct w:val="0"/>
              <w:autoSpaceDE/>
              <w:autoSpaceDN/>
              <w:bidi w:val="0"/>
              <w:adjustRightInd w:val="0"/>
              <w:snapToGrid w:val="0"/>
              <w:jc w:val="both"/>
              <w:rPr>
                <w:rFonts w:hint="eastAsia" w:ascii="国标仿宋-GB/T 2312" w:hAnsi="国标仿宋-GB/T 2312" w:eastAsia="国标仿宋-GB/T 2312" w:cs="国标仿宋-GB/T 2312"/>
                <w:i w:val="0"/>
                <w:color w:val="auto"/>
                <w:spacing w:val="0"/>
                <w:kern w:val="0"/>
                <w:sz w:val="20"/>
                <w:szCs w:val="20"/>
                <w:highlight w:val="none"/>
                <w:u w:val="none"/>
                <w:lang w:val="en-US" w:eastAsia="zh-CN" w:bidi="ar"/>
              </w:rPr>
            </w:pPr>
          </w:p>
        </w:tc>
        <w:tc>
          <w:tcPr>
            <w:tcW w:w="1109" w:type="dxa"/>
            <w:tcBorders>
              <w:top w:val="single" w:color="auto" w:sz="4" w:space="0"/>
              <w:left w:val="single" w:color="auto" w:sz="4" w:space="0"/>
              <w:bottom w:val="single" w:color="auto" w:sz="4" w:space="0"/>
              <w:right w:val="single" w:color="000000" w:sz="4" w:space="0"/>
            </w:tcBorders>
            <w:vAlign w:val="center"/>
          </w:tcPr>
          <w:p w14:paraId="2116EB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从重处罚</w:t>
            </w:r>
          </w:p>
        </w:tc>
        <w:tc>
          <w:tcPr>
            <w:tcW w:w="1137" w:type="dxa"/>
            <w:tcBorders>
              <w:top w:val="single" w:color="auto" w:sz="4" w:space="0"/>
              <w:left w:val="single" w:color="000000" w:sz="4" w:space="0"/>
              <w:bottom w:val="single" w:color="auto" w:sz="4" w:space="0"/>
              <w:right w:val="single" w:color="000000" w:sz="4" w:space="0"/>
            </w:tcBorders>
            <w:vAlign w:val="center"/>
          </w:tcPr>
          <w:p w14:paraId="6C8933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罚款</w:t>
            </w:r>
          </w:p>
        </w:tc>
        <w:tc>
          <w:tcPr>
            <w:tcW w:w="4143" w:type="dxa"/>
            <w:tcBorders>
              <w:top w:val="single" w:color="auto" w:sz="4" w:space="0"/>
              <w:left w:val="single" w:color="000000" w:sz="4" w:space="0"/>
              <w:bottom w:val="single" w:color="auto" w:sz="4" w:space="0"/>
              <w:right w:val="single" w:color="000000" w:sz="4" w:space="0"/>
            </w:tcBorders>
            <w:vAlign w:val="center"/>
          </w:tcPr>
          <w:p w14:paraId="165C362D">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国标仿宋-GB/T 2312" w:cs="Times New Roman"/>
                <w:i w:val="0"/>
                <w:color w:val="auto"/>
                <w:spacing w:val="0"/>
                <w:kern w:val="0"/>
                <w:sz w:val="20"/>
                <w:szCs w:val="20"/>
                <w:highlight w:val="none"/>
                <w:u w:val="none"/>
                <w:lang w:val="en-US" w:eastAsia="zh-CN" w:bidi="ar"/>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负有烈士遗属优待义务的单位不履行优待义务，责令限期履行义务而逾期仍未履行，延长整改时限仍未履行，且造成社会影响恶劣的。</w:t>
            </w:r>
          </w:p>
        </w:tc>
        <w:tc>
          <w:tcPr>
            <w:tcW w:w="1124" w:type="dxa"/>
            <w:tcBorders>
              <w:top w:val="single" w:color="auto" w:sz="4" w:space="0"/>
              <w:left w:val="single" w:color="000000" w:sz="4" w:space="0"/>
              <w:bottom w:val="single" w:color="auto" w:sz="4" w:space="0"/>
              <w:right w:val="single" w:color="000000" w:sz="4" w:space="0"/>
            </w:tcBorders>
            <w:vAlign w:val="center"/>
          </w:tcPr>
          <w:p w14:paraId="502FAADF">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国标仿宋-GB/T 2312" w:cs="Times New Roman"/>
                <w:i w:val="0"/>
                <w:color w:val="auto"/>
                <w:spacing w:val="0"/>
                <w:sz w:val="20"/>
                <w:szCs w:val="20"/>
                <w:highlight w:val="none"/>
                <w:u w:val="none"/>
                <w:lang w:eastAsia="zh-CN"/>
              </w:rPr>
            </w:pPr>
            <w:r>
              <w:rPr>
                <w:rFonts w:hint="default" w:ascii="Times New Roman" w:hAnsi="Times New Roman" w:eastAsia="国标仿宋-GB/T 2312" w:cs="Times New Roman"/>
                <w:i w:val="0"/>
                <w:color w:val="auto"/>
                <w:spacing w:val="0"/>
                <w:kern w:val="0"/>
                <w:sz w:val="20"/>
                <w:szCs w:val="20"/>
                <w:highlight w:val="none"/>
                <w:u w:val="none"/>
                <w:lang w:val="en-US" w:eastAsia="zh-CN" w:bidi="ar"/>
              </w:rPr>
              <w:t>处以5万元的罚款</w:t>
            </w:r>
          </w:p>
        </w:tc>
        <w:tc>
          <w:tcPr>
            <w:tcW w:w="908" w:type="dxa"/>
            <w:vMerge w:val="continue"/>
            <w:tcBorders>
              <w:top w:val="single" w:color="auto" w:sz="4" w:space="0"/>
              <w:left w:val="single" w:color="000000" w:sz="4" w:space="0"/>
              <w:bottom w:val="single" w:color="auto" w:sz="4" w:space="0"/>
              <w:right w:val="single" w:color="000000" w:sz="4" w:space="0"/>
            </w:tcBorders>
            <w:vAlign w:val="center"/>
          </w:tcPr>
          <w:p w14:paraId="34A5884A">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国标仿宋-GB/T 2312" w:hAnsi="国标仿宋-GB/T 2312" w:eastAsia="国标仿宋-GB/T 2312" w:cs="国标仿宋-GB/T 2312"/>
                <w:i w:val="0"/>
                <w:color w:val="auto"/>
                <w:spacing w:val="0"/>
                <w:sz w:val="20"/>
                <w:szCs w:val="20"/>
                <w:highlight w:val="none"/>
                <w:u w:val="none"/>
              </w:rPr>
            </w:pPr>
          </w:p>
        </w:tc>
      </w:tr>
    </w:tbl>
    <w:tbl>
      <w:tblPr>
        <w:tblStyle w:val="13"/>
        <w:tblpPr w:leftFromText="180" w:rightFromText="180" w:vertAnchor="text" w:tblpX="15359" w:tblpY="-12514"/>
        <w:tblOverlap w:val="never"/>
        <w:tblW w:w="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tblGrid>
      <w:tr w14:paraId="18C4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95" w:type="dxa"/>
          </w:tcPr>
          <w:p w14:paraId="0832303A">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textAlignment w:val="auto"/>
              <w:outlineLvl w:val="9"/>
              <w:rPr>
                <w:rStyle w:val="15"/>
                <w:rFonts w:hint="eastAsia" w:ascii="国标仿宋-GB/T 2312" w:hAnsi="国标仿宋-GB/T 2312" w:eastAsia="国标仿宋-GB/T 2312" w:cs="国标仿宋-GB/T 2312"/>
                <w:b w:val="0"/>
                <w:bCs/>
                <w:color w:val="auto"/>
                <w:spacing w:val="0"/>
                <w:sz w:val="32"/>
                <w:szCs w:val="32"/>
                <w:highlight w:val="none"/>
                <w:u w:val="none"/>
                <w:shd w:val="clear" w:color="auto" w:fill="FFFFFF"/>
                <w:vertAlign w:val="baseline"/>
              </w:rPr>
            </w:pPr>
          </w:p>
        </w:tc>
      </w:tr>
    </w:tbl>
    <w:p w14:paraId="0B85354D">
      <w:pPr>
        <w:rPr>
          <w:rFonts w:hint="eastAsia" w:ascii="黑体" w:hAnsi="黑体" w:eastAsia="黑体" w:cs="黑体"/>
          <w:color w:val="auto"/>
          <w:spacing w:val="0"/>
          <w:sz w:val="32"/>
          <w:szCs w:val="32"/>
          <w:u w:val="none"/>
        </w:rPr>
        <w:sectPr>
          <w:footerReference r:id="rId3" w:type="default"/>
          <w:pgSz w:w="16838" w:h="11906" w:orient="landscape"/>
          <w:pgMar w:top="1984" w:right="1531" w:bottom="1531" w:left="1587" w:header="851" w:footer="992" w:gutter="0"/>
          <w:pgNumType w:fmt="numberInDash"/>
          <w:cols w:space="720" w:num="1"/>
          <w:rtlGutter w:val="0"/>
          <w:docGrid w:type="lines" w:linePitch="312" w:charSpace="0"/>
        </w:sectPr>
      </w:pPr>
      <w:r>
        <w:rPr>
          <w:rFonts w:hint="eastAsia" w:ascii="黑体" w:hAnsi="黑体" w:eastAsia="黑体" w:cs="黑体"/>
          <w:color w:val="auto"/>
          <w:spacing w:val="0"/>
          <w:sz w:val="32"/>
          <w:szCs w:val="32"/>
          <w:u w:val="none"/>
        </w:rPr>
        <w:br w:type="page"/>
      </w:r>
    </w:p>
    <w:p w14:paraId="711DB79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国标黑体-GB/T 2312" w:hAnsi="国标黑体-GB/T 2312" w:eastAsia="国标黑体-GB/T 2312" w:cs="国标黑体-GB/T 2312"/>
          <w:color w:val="auto"/>
          <w:spacing w:val="0"/>
          <w:sz w:val="32"/>
          <w:szCs w:val="32"/>
          <w:u w:val="none"/>
        </w:rPr>
      </w:pPr>
      <w:r>
        <w:rPr>
          <w:rFonts w:hint="eastAsia" w:ascii="国标黑体-GB/T 2312" w:hAnsi="国标黑体-GB/T 2312" w:eastAsia="国标黑体-GB/T 2312" w:cs="国标黑体-GB/T 2312"/>
          <w:color w:val="auto"/>
          <w:spacing w:val="0"/>
          <w:sz w:val="32"/>
          <w:szCs w:val="32"/>
          <w:u w:val="none"/>
        </w:rPr>
        <w:t>二、行政确认、行政给付细化量化规定</w:t>
      </w:r>
    </w:p>
    <w:p w14:paraId="2BB1996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国标楷体-GB/T 2312" w:cs="Times New Roman"/>
          <w:b w:val="0"/>
          <w:bCs w:val="0"/>
          <w:color w:val="auto"/>
          <w:spacing w:val="0"/>
          <w:sz w:val="32"/>
          <w:szCs w:val="32"/>
          <w:u w:val="none"/>
          <w:lang w:val="en-US" w:eastAsia="zh-CN"/>
        </w:rPr>
      </w:pPr>
      <w:r>
        <w:rPr>
          <w:rFonts w:hint="default" w:ascii="Times New Roman" w:hAnsi="Times New Roman" w:eastAsia="国标楷体-GB/T 2312" w:cs="Times New Roman"/>
          <w:b w:val="0"/>
          <w:bCs w:val="0"/>
          <w:color w:val="auto"/>
          <w:spacing w:val="0"/>
          <w:sz w:val="32"/>
          <w:szCs w:val="32"/>
          <w:u w:val="none"/>
          <w:lang w:eastAsia="zh-CN"/>
        </w:rPr>
        <w:t>（一）因战、因公、因病致残性质的认定和评残等级评定。</w:t>
      </w:r>
    </w:p>
    <w:p w14:paraId="55B19C8F">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行政确认。</w:t>
      </w:r>
    </w:p>
    <w:p w14:paraId="3616AD28">
      <w:pPr>
        <w:pStyle w:val="3"/>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7E5A85E0">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b w:val="0"/>
          <w:bCs w:val="0"/>
          <w:color w:val="auto"/>
          <w:spacing w:val="0"/>
          <w:sz w:val="32"/>
          <w:szCs w:val="32"/>
          <w:u w:val="none"/>
          <w:lang w:val="en-US" w:eastAsia="zh-CN"/>
        </w:rPr>
      </w:pPr>
      <w:r>
        <w:rPr>
          <w:rFonts w:hint="default" w:ascii="Times New Roman" w:hAnsi="Times New Roman" w:eastAsia="国标仿宋-GB/T 2312" w:cs="Times New Roman"/>
          <w:b w:val="0"/>
          <w:bCs w:val="0"/>
          <w:color w:val="auto"/>
          <w:spacing w:val="0"/>
          <w:sz w:val="32"/>
          <w:szCs w:val="32"/>
          <w:u w:val="none"/>
          <w:lang w:val="en-US" w:eastAsia="zh-CN"/>
        </w:rPr>
        <w:t>1.《军人抚恤优待条例》 第二十八条第三款：（三）退出现役的军人和移交政府安置的军队离休退休干部、退休军士需要认定残疾性质和评定残疾等级的，由省级人民政府退役军人工作主管部门认定和评定。</w:t>
      </w:r>
    </w:p>
    <w:p w14:paraId="4177E8D3">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b w:val="0"/>
          <w:bCs w:val="0"/>
          <w:color w:val="auto"/>
          <w:spacing w:val="0"/>
          <w:sz w:val="32"/>
          <w:szCs w:val="32"/>
          <w:u w:val="none"/>
          <w:lang w:val="en-US" w:eastAsia="zh-CN"/>
        </w:rPr>
      </w:pPr>
      <w:r>
        <w:rPr>
          <w:rFonts w:hint="default" w:ascii="Times New Roman" w:hAnsi="Times New Roman" w:eastAsia="国标仿宋-GB/T 2312" w:cs="Times New Roman"/>
          <w:b w:val="0"/>
          <w:bCs w:val="0"/>
          <w:color w:val="auto"/>
          <w:spacing w:val="0"/>
          <w:sz w:val="32"/>
          <w:szCs w:val="32"/>
          <w:u w:val="none"/>
          <w:lang w:val="en-US" w:eastAsia="zh-CN"/>
        </w:rPr>
        <w:t>评定残疾等级，应当依据医疗卫生专家小组出具的残疾等级医学鉴定意见。</w:t>
      </w:r>
    </w:p>
    <w:p w14:paraId="1F3C6E7A">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b w:val="0"/>
          <w:bCs w:val="0"/>
          <w:color w:val="auto"/>
          <w:spacing w:val="0"/>
          <w:sz w:val="32"/>
          <w:szCs w:val="32"/>
          <w:u w:val="none"/>
          <w:lang w:val="en-US" w:eastAsia="zh-CN"/>
        </w:rPr>
      </w:pPr>
      <w:r>
        <w:rPr>
          <w:rFonts w:hint="default" w:ascii="Times New Roman" w:hAnsi="Times New Roman" w:eastAsia="国标仿宋-GB/T 2312" w:cs="Times New Roman"/>
          <w:b w:val="0"/>
          <w:bCs w:val="0"/>
          <w:color w:val="auto"/>
          <w:spacing w:val="0"/>
          <w:sz w:val="32"/>
          <w:szCs w:val="32"/>
          <w:u w:val="none"/>
          <w:lang w:val="en-US" w:eastAsia="zh-CN"/>
        </w:rPr>
        <w:t>残疾军人由认定残疾性质和评定残疾等级的机关发给《中华人民共和国残疾军人证》。</w:t>
      </w:r>
    </w:p>
    <w:p w14:paraId="1F85DCB5">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b w:val="0"/>
          <w:bCs w:val="0"/>
          <w:color w:val="auto"/>
          <w:spacing w:val="0"/>
          <w:sz w:val="32"/>
          <w:szCs w:val="32"/>
          <w:u w:val="none"/>
          <w:lang w:val="en-US" w:eastAsia="zh-CN"/>
        </w:rPr>
      </w:pPr>
      <w:r>
        <w:rPr>
          <w:rFonts w:hint="default" w:ascii="Times New Roman" w:hAnsi="Times New Roman" w:eastAsia="国标仿宋-GB/T 2312" w:cs="Times New Roman"/>
          <w:b w:val="0"/>
          <w:bCs w:val="0"/>
          <w:color w:val="auto"/>
          <w:spacing w:val="0"/>
          <w:sz w:val="32"/>
          <w:szCs w:val="32"/>
          <w:u w:val="none"/>
          <w:lang w:val="en-US" w:eastAsia="zh-CN"/>
        </w:rPr>
        <w:t>第二十九条 军人因战、因公致残，未及时评定残疾等级，退出现役后，本人（无民事行为能力人或者限制民事行为能力人由其监护人）应当及时申请补办评定残疾等级；凭原始档案记载及原始病历能够证明服现役期间的残情和伤残性质符合评定残疾等级条件的，可以评定残疾等级。</w:t>
      </w:r>
    </w:p>
    <w:p w14:paraId="57F0411D">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b w:val="0"/>
          <w:bCs w:val="0"/>
          <w:color w:val="auto"/>
          <w:spacing w:val="0"/>
          <w:sz w:val="32"/>
          <w:szCs w:val="32"/>
          <w:u w:val="none"/>
          <w:lang w:val="en-US" w:eastAsia="zh-CN"/>
        </w:rPr>
      </w:pPr>
      <w:r>
        <w:rPr>
          <w:rFonts w:hint="default" w:ascii="Times New Roman" w:hAnsi="Times New Roman" w:eastAsia="国标仿宋-GB/T 2312" w:cs="Times New Roman"/>
          <w:b w:val="0"/>
          <w:bCs w:val="0"/>
          <w:color w:val="auto"/>
          <w:spacing w:val="0"/>
          <w:sz w:val="32"/>
          <w:szCs w:val="32"/>
          <w:u w:val="none"/>
          <w:lang w:val="en-US" w:eastAsia="zh-CN"/>
        </w:rPr>
        <w:t>被诊断、鉴定为职业病或者因体内残留弹片致残，符合残疾等级评定条件的，可以补办评定残疾等级。</w:t>
      </w:r>
    </w:p>
    <w:p w14:paraId="1029934E">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b w:val="0"/>
          <w:bCs w:val="0"/>
          <w:color w:val="auto"/>
          <w:spacing w:val="0"/>
          <w:sz w:val="32"/>
          <w:szCs w:val="32"/>
          <w:u w:val="none"/>
          <w:lang w:val="en-US" w:eastAsia="zh-CN"/>
        </w:rPr>
      </w:pPr>
      <w:r>
        <w:rPr>
          <w:rFonts w:hint="default" w:ascii="Times New Roman" w:hAnsi="Times New Roman" w:eastAsia="国标仿宋-GB/T 2312" w:cs="Times New Roman"/>
          <w:b w:val="0"/>
          <w:bCs w:val="0"/>
          <w:color w:val="auto"/>
          <w:spacing w:val="0"/>
          <w:sz w:val="32"/>
          <w:szCs w:val="32"/>
          <w:u w:val="none"/>
          <w:lang w:val="en-US" w:eastAsia="zh-CN"/>
        </w:rPr>
        <w:t>军人被评定残疾等级后，在服现役期间或者退出现役后原致残部位残疾情况发生明显变化，原定残疾等级与残疾情况明显不符，本人（无民事行为能力人或者限制民事行为能力人由其监护人）申请或者军队卫生部门、地方人民政府退役军人工作主管部门提出需要调整残疾等级的，可以重新评定残疾等级。申请调整残疾等级应当在上一次评定残疾等级1年后提出。</w:t>
      </w:r>
    </w:p>
    <w:p w14:paraId="4BE24DB3">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b w:val="0"/>
          <w:bCs w:val="0"/>
          <w:color w:val="auto"/>
          <w:spacing w:val="0"/>
          <w:kern w:val="2"/>
          <w:sz w:val="32"/>
          <w:szCs w:val="32"/>
          <w:shd w:val="clear" w:color="auto" w:fill="auto"/>
        </w:rPr>
      </w:pPr>
      <w:r>
        <w:rPr>
          <w:rFonts w:hint="default" w:ascii="Times New Roman" w:hAnsi="Times New Roman" w:eastAsia="国标仿宋-GB/T 2312" w:cs="Times New Roman"/>
          <w:b w:val="0"/>
          <w:bCs w:val="0"/>
          <w:color w:val="auto"/>
          <w:spacing w:val="0"/>
          <w:sz w:val="32"/>
          <w:szCs w:val="32"/>
          <w:u w:val="none"/>
          <w:lang w:val="en-US" w:eastAsia="zh-CN"/>
        </w:rPr>
        <w:t xml:space="preserve">2.《伤残抚恤管理办法》第三条 </w:t>
      </w:r>
      <w:r>
        <w:rPr>
          <w:rFonts w:hint="default" w:ascii="Times New Roman" w:hAnsi="Times New Roman" w:eastAsia="国标仿宋-GB/T 2312" w:cs="Times New Roman"/>
          <w:b w:val="0"/>
          <w:bCs w:val="0"/>
          <w:color w:val="auto"/>
          <w:spacing w:val="0"/>
          <w:kern w:val="2"/>
          <w:sz w:val="32"/>
          <w:szCs w:val="32"/>
          <w:shd w:val="clear" w:color="auto" w:fill="auto"/>
        </w:rPr>
        <w:t>本办法第二条所列人员符合《军人抚恤优待条例》及有关政策中因战因公致残规定的，可以认定因战因公致残；个人对导致伤残的事件和行为负有过错责任的，以及其他不符合因战因公致残情形的，不得认定为因战因公致残。</w:t>
      </w:r>
    </w:p>
    <w:p w14:paraId="286B97CC">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0"/>
        <w:textAlignment w:val="auto"/>
        <w:rPr>
          <w:rFonts w:hint="default" w:ascii="Times New Roman" w:hAnsi="Times New Roman" w:eastAsia="国标仿宋-GB/T 2312" w:cs="Times New Roman"/>
          <w:b/>
          <w:bCs/>
          <w:color w:val="auto"/>
          <w:spacing w:val="0"/>
          <w:kern w:val="2"/>
          <w:sz w:val="32"/>
          <w:szCs w:val="32"/>
          <w:shd w:val="clear" w:color="auto" w:fill="auto"/>
          <w:lang w:val="en-US" w:eastAsia="zh-CN"/>
        </w:rPr>
      </w:pPr>
      <w:r>
        <w:rPr>
          <w:rFonts w:hint="default" w:ascii="Times New Roman" w:hAnsi="Times New Roman" w:eastAsia="国标仿宋-GB/T 2312" w:cs="Times New Roman"/>
          <w:b/>
          <w:bCs/>
          <w:color w:val="auto"/>
          <w:spacing w:val="0"/>
          <w:kern w:val="2"/>
          <w:sz w:val="32"/>
          <w:szCs w:val="32"/>
          <w:shd w:val="clear" w:color="auto" w:fill="auto"/>
          <w:lang w:val="en-US" w:eastAsia="zh-CN"/>
        </w:rPr>
        <w:t>条件：</w:t>
      </w:r>
    </w:p>
    <w:p w14:paraId="3CF38A05">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0"/>
        <w:textAlignment w:val="auto"/>
        <w:rPr>
          <w:rFonts w:hint="default" w:ascii="Times New Roman" w:hAnsi="Times New Roman" w:eastAsia="国标仿宋-GB/T 2312" w:cs="Times New Roman"/>
          <w:color w:val="auto"/>
          <w:spacing w:val="0"/>
          <w:sz w:val="32"/>
          <w:szCs w:val="32"/>
          <w:shd w:val="clear" w:color="auto" w:fill="auto"/>
        </w:rPr>
      </w:pPr>
      <w:r>
        <w:rPr>
          <w:rFonts w:hint="default" w:ascii="Times New Roman" w:hAnsi="Times New Roman" w:eastAsia="国标仿宋-GB/T 2312" w:cs="Times New Roman"/>
          <w:color w:val="auto"/>
          <w:spacing w:val="0"/>
          <w:sz w:val="32"/>
          <w:szCs w:val="32"/>
          <w:shd w:val="clear" w:color="auto" w:fill="auto"/>
        </w:rPr>
        <w:t>符合下列情况的中国公民：</w:t>
      </w:r>
    </w:p>
    <w:p w14:paraId="6304B77C">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color w:val="auto"/>
          <w:spacing w:val="0"/>
          <w:sz w:val="32"/>
          <w:szCs w:val="32"/>
          <w:shd w:val="clear" w:color="auto" w:fill="auto"/>
        </w:rPr>
      </w:pPr>
      <w:r>
        <w:rPr>
          <w:rFonts w:hint="default" w:ascii="Times New Roman" w:hAnsi="Times New Roman" w:eastAsia="国标仿宋-GB/T 2312" w:cs="Times New Roman"/>
          <w:color w:val="auto"/>
          <w:spacing w:val="0"/>
          <w:sz w:val="32"/>
          <w:szCs w:val="32"/>
          <w:shd w:val="clear" w:color="auto" w:fill="auto"/>
          <w:lang w:val="en-US" w:eastAsia="zh-CN"/>
        </w:rPr>
        <w:t>1.</w:t>
      </w:r>
      <w:r>
        <w:rPr>
          <w:rFonts w:hint="default" w:ascii="Times New Roman" w:hAnsi="Times New Roman" w:eastAsia="国标仿宋-GB/T 2312" w:cs="Times New Roman"/>
          <w:color w:val="auto"/>
          <w:spacing w:val="0"/>
          <w:sz w:val="32"/>
          <w:szCs w:val="32"/>
          <w:shd w:val="clear" w:color="auto" w:fill="auto"/>
        </w:rPr>
        <w:t>在服役期间因战因公致残退出现役的军人，在服役期间因病评定了残疾等级退出现役的残疾军人；</w:t>
      </w:r>
    </w:p>
    <w:p w14:paraId="53A9DA0A">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color w:val="auto"/>
          <w:spacing w:val="0"/>
          <w:sz w:val="32"/>
          <w:szCs w:val="32"/>
          <w:shd w:val="clear" w:color="auto" w:fill="auto"/>
        </w:rPr>
      </w:pPr>
      <w:r>
        <w:rPr>
          <w:rFonts w:hint="default" w:ascii="Times New Roman" w:hAnsi="Times New Roman" w:eastAsia="国标仿宋-GB/T 2312" w:cs="Times New Roman"/>
          <w:color w:val="auto"/>
          <w:spacing w:val="0"/>
          <w:sz w:val="32"/>
          <w:szCs w:val="32"/>
          <w:shd w:val="clear" w:color="auto" w:fill="auto"/>
          <w:lang w:val="en-US" w:eastAsia="zh-CN"/>
        </w:rPr>
        <w:t>2.</w:t>
      </w:r>
      <w:r>
        <w:rPr>
          <w:rFonts w:hint="default" w:ascii="Times New Roman" w:hAnsi="Times New Roman" w:eastAsia="国标仿宋-GB/T 2312" w:cs="Times New Roman"/>
          <w:color w:val="auto"/>
          <w:spacing w:val="0"/>
          <w:sz w:val="32"/>
          <w:szCs w:val="32"/>
          <w:shd w:val="clear" w:color="auto" w:fill="auto"/>
        </w:rPr>
        <w:t>因战因公负伤时为行政编制的人民警察；</w:t>
      </w:r>
    </w:p>
    <w:p w14:paraId="51D37700">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color w:val="auto"/>
          <w:spacing w:val="0"/>
          <w:sz w:val="32"/>
          <w:szCs w:val="32"/>
          <w:shd w:val="clear" w:color="auto" w:fill="auto"/>
        </w:rPr>
      </w:pPr>
      <w:r>
        <w:rPr>
          <w:rFonts w:hint="default" w:ascii="Times New Roman" w:hAnsi="Times New Roman" w:eastAsia="国标仿宋-GB/T 2312" w:cs="Times New Roman"/>
          <w:color w:val="auto"/>
          <w:spacing w:val="0"/>
          <w:sz w:val="32"/>
          <w:szCs w:val="32"/>
          <w:shd w:val="clear" w:color="auto" w:fill="auto"/>
          <w:lang w:val="en-US" w:eastAsia="zh-CN"/>
        </w:rPr>
        <w:t>3.</w:t>
      </w:r>
      <w:r>
        <w:rPr>
          <w:rFonts w:hint="default" w:ascii="Times New Roman" w:hAnsi="Times New Roman" w:eastAsia="国标仿宋-GB/T 2312" w:cs="Times New Roman"/>
          <w:color w:val="auto"/>
          <w:spacing w:val="0"/>
          <w:sz w:val="32"/>
          <w:szCs w:val="32"/>
          <w:shd w:val="clear" w:color="auto" w:fill="auto"/>
        </w:rPr>
        <w:t>因参战、参加军事演习、军事训练和执行军事勤务致残的预备役人员、民兵、民工以及其他人员；</w:t>
      </w:r>
    </w:p>
    <w:p w14:paraId="52439CB1">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color w:val="auto"/>
          <w:spacing w:val="0"/>
          <w:sz w:val="32"/>
          <w:szCs w:val="32"/>
          <w:shd w:val="clear" w:color="auto" w:fill="auto"/>
        </w:rPr>
      </w:pPr>
      <w:r>
        <w:rPr>
          <w:rFonts w:hint="default" w:ascii="Times New Roman" w:hAnsi="Times New Roman" w:eastAsia="国标仿宋-GB/T 2312" w:cs="Times New Roman"/>
          <w:color w:val="auto"/>
          <w:spacing w:val="0"/>
          <w:sz w:val="32"/>
          <w:szCs w:val="32"/>
          <w:shd w:val="clear" w:color="auto" w:fill="auto"/>
          <w:lang w:val="en-US" w:eastAsia="zh-CN"/>
        </w:rPr>
        <w:t>4.</w:t>
      </w:r>
      <w:r>
        <w:rPr>
          <w:rFonts w:hint="default" w:ascii="Times New Roman" w:hAnsi="Times New Roman" w:eastAsia="国标仿宋-GB/T 2312" w:cs="Times New Roman"/>
          <w:color w:val="auto"/>
          <w:spacing w:val="0"/>
          <w:sz w:val="32"/>
          <w:szCs w:val="32"/>
          <w:shd w:val="clear" w:color="auto" w:fill="auto"/>
        </w:rPr>
        <w:t>为维护社会治安同违法犯罪分子进行斗争致残的人员；</w:t>
      </w:r>
    </w:p>
    <w:p w14:paraId="2014021F">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color w:val="auto"/>
          <w:spacing w:val="0"/>
          <w:sz w:val="32"/>
          <w:szCs w:val="32"/>
          <w:shd w:val="clear" w:color="auto" w:fill="auto"/>
        </w:rPr>
      </w:pPr>
      <w:r>
        <w:rPr>
          <w:rFonts w:hint="default" w:ascii="Times New Roman" w:hAnsi="Times New Roman" w:eastAsia="国标仿宋-GB/T 2312" w:cs="Times New Roman"/>
          <w:color w:val="auto"/>
          <w:spacing w:val="0"/>
          <w:sz w:val="32"/>
          <w:szCs w:val="32"/>
          <w:shd w:val="clear" w:color="auto" w:fill="auto"/>
          <w:lang w:val="en-US" w:eastAsia="zh-CN"/>
        </w:rPr>
        <w:t>5.</w:t>
      </w:r>
      <w:r>
        <w:rPr>
          <w:rFonts w:hint="default" w:ascii="Times New Roman" w:hAnsi="Times New Roman" w:eastAsia="国标仿宋-GB/T 2312" w:cs="Times New Roman"/>
          <w:color w:val="auto"/>
          <w:spacing w:val="0"/>
          <w:sz w:val="32"/>
          <w:szCs w:val="32"/>
          <w:shd w:val="clear" w:color="auto" w:fill="auto"/>
        </w:rPr>
        <w:t>为抢救和保护国家财产、人民生命财产致残的人员；</w:t>
      </w:r>
    </w:p>
    <w:p w14:paraId="7ACA71F6">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color w:val="auto"/>
          <w:spacing w:val="0"/>
          <w:sz w:val="32"/>
          <w:szCs w:val="32"/>
          <w:shd w:val="clear" w:color="auto" w:fill="auto"/>
        </w:rPr>
      </w:pPr>
      <w:r>
        <w:rPr>
          <w:rFonts w:hint="default" w:ascii="Times New Roman" w:hAnsi="Times New Roman" w:eastAsia="国标仿宋-GB/T 2312" w:cs="Times New Roman"/>
          <w:color w:val="auto"/>
          <w:spacing w:val="0"/>
          <w:sz w:val="32"/>
          <w:szCs w:val="32"/>
          <w:shd w:val="clear" w:color="auto" w:fill="auto"/>
          <w:lang w:val="en-US" w:eastAsia="zh-CN"/>
        </w:rPr>
        <w:t>6.</w:t>
      </w:r>
      <w:r>
        <w:rPr>
          <w:rFonts w:hint="default" w:ascii="Times New Roman" w:hAnsi="Times New Roman" w:eastAsia="国标仿宋-GB/T 2312" w:cs="Times New Roman"/>
          <w:color w:val="auto"/>
          <w:spacing w:val="0"/>
          <w:sz w:val="32"/>
          <w:szCs w:val="32"/>
          <w:shd w:val="clear" w:color="auto" w:fill="auto"/>
        </w:rPr>
        <w:t>法律、行政法规规定应当由</w:t>
      </w:r>
      <w:r>
        <w:rPr>
          <w:rFonts w:hint="default" w:ascii="Times New Roman" w:hAnsi="Times New Roman" w:eastAsia="国标仿宋-GB/T 2312" w:cs="Times New Roman"/>
          <w:color w:val="auto"/>
          <w:spacing w:val="0"/>
          <w:sz w:val="32"/>
          <w:szCs w:val="32"/>
          <w:shd w:val="clear" w:color="auto" w:fill="auto"/>
          <w:lang w:eastAsia="zh-CN"/>
        </w:rPr>
        <w:t>退役军人工作主管部门</w:t>
      </w:r>
      <w:r>
        <w:rPr>
          <w:rFonts w:hint="default" w:ascii="Times New Roman" w:hAnsi="Times New Roman" w:eastAsia="国标仿宋-GB/T 2312" w:cs="Times New Roman"/>
          <w:color w:val="auto"/>
          <w:spacing w:val="0"/>
          <w:sz w:val="32"/>
          <w:szCs w:val="32"/>
          <w:shd w:val="clear" w:color="auto" w:fill="auto"/>
        </w:rPr>
        <w:t>负责伤残抚恤的其他人员。</w:t>
      </w:r>
    </w:p>
    <w:p w14:paraId="0126015A">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color w:val="auto"/>
          <w:spacing w:val="0"/>
          <w:sz w:val="32"/>
          <w:szCs w:val="32"/>
          <w:shd w:val="clear" w:color="auto" w:fill="auto"/>
          <w:lang w:val="en"/>
        </w:rPr>
      </w:pPr>
      <w:r>
        <w:rPr>
          <w:rFonts w:hint="default" w:ascii="Times New Roman" w:hAnsi="Times New Roman" w:eastAsia="国标仿宋-GB/T 2312" w:cs="Times New Roman"/>
          <w:color w:val="auto"/>
          <w:spacing w:val="0"/>
          <w:sz w:val="32"/>
          <w:szCs w:val="32"/>
          <w:shd w:val="clear" w:color="auto" w:fill="auto"/>
        </w:rPr>
        <w:t>第</w:t>
      </w:r>
      <w:r>
        <w:rPr>
          <w:rFonts w:hint="default" w:ascii="Times New Roman" w:hAnsi="Times New Roman" w:eastAsia="国标仿宋-GB/T 2312" w:cs="Times New Roman"/>
          <w:color w:val="auto"/>
          <w:spacing w:val="0"/>
          <w:sz w:val="32"/>
          <w:szCs w:val="32"/>
          <w:shd w:val="clear" w:color="auto" w:fill="auto"/>
          <w:lang w:val="en-US" w:eastAsia="zh-CN"/>
        </w:rPr>
        <w:t>3</w:t>
      </w:r>
      <w:r>
        <w:rPr>
          <w:rFonts w:hint="default" w:ascii="Times New Roman" w:hAnsi="Times New Roman" w:eastAsia="国标仿宋-GB/T 2312" w:cs="Times New Roman"/>
          <w:color w:val="auto"/>
          <w:spacing w:val="0"/>
          <w:sz w:val="32"/>
          <w:szCs w:val="32"/>
          <w:shd w:val="clear" w:color="auto" w:fill="auto"/>
        </w:rPr>
        <w:t>、</w:t>
      </w:r>
      <w:r>
        <w:rPr>
          <w:rFonts w:hint="default" w:ascii="Times New Roman" w:hAnsi="Times New Roman" w:eastAsia="国标仿宋-GB/T 2312" w:cs="Times New Roman"/>
          <w:color w:val="auto"/>
          <w:spacing w:val="0"/>
          <w:sz w:val="32"/>
          <w:szCs w:val="32"/>
          <w:shd w:val="clear" w:color="auto" w:fill="auto"/>
          <w:lang w:val="en-US" w:eastAsia="zh-CN"/>
        </w:rPr>
        <w:t>4</w:t>
      </w:r>
      <w:r>
        <w:rPr>
          <w:rFonts w:hint="default" w:ascii="Times New Roman" w:hAnsi="Times New Roman" w:eastAsia="国标仿宋-GB/T 2312" w:cs="Times New Roman"/>
          <w:color w:val="auto"/>
          <w:spacing w:val="0"/>
          <w:sz w:val="32"/>
          <w:szCs w:val="32"/>
          <w:shd w:val="clear" w:color="auto" w:fill="auto"/>
        </w:rPr>
        <w:t>、</w:t>
      </w:r>
      <w:r>
        <w:rPr>
          <w:rFonts w:hint="default" w:ascii="Times New Roman" w:hAnsi="Times New Roman" w:eastAsia="国标仿宋-GB/T 2312" w:cs="Times New Roman"/>
          <w:color w:val="auto"/>
          <w:spacing w:val="0"/>
          <w:sz w:val="32"/>
          <w:szCs w:val="32"/>
          <w:shd w:val="clear" w:color="auto" w:fill="auto"/>
          <w:lang w:val="en-US" w:eastAsia="zh-CN"/>
        </w:rPr>
        <w:t>5</w:t>
      </w:r>
      <w:r>
        <w:rPr>
          <w:rFonts w:hint="default" w:ascii="Times New Roman" w:hAnsi="Times New Roman" w:eastAsia="国标仿宋-GB/T 2312" w:cs="Times New Roman"/>
          <w:color w:val="auto"/>
          <w:spacing w:val="0"/>
          <w:sz w:val="32"/>
          <w:szCs w:val="32"/>
          <w:shd w:val="clear" w:color="auto" w:fill="auto"/>
        </w:rPr>
        <w:t>项人员，根据《工伤保险条例》应当认定视同工伤的，不再办理因战、因公伤残抚恤。</w:t>
      </w:r>
      <w:r>
        <w:rPr>
          <w:rFonts w:hint="default" w:ascii="Times New Roman" w:hAnsi="Times New Roman" w:eastAsia="国标仿宋-GB/T 2312" w:cs="Times New Roman"/>
          <w:color w:val="auto"/>
          <w:spacing w:val="0"/>
          <w:sz w:val="32"/>
          <w:szCs w:val="32"/>
          <w:shd w:val="clear" w:color="auto" w:fill="auto"/>
          <w:lang w:val="en"/>
        </w:rPr>
        <w:t xml:space="preserve">       </w:t>
      </w:r>
    </w:p>
    <w:p w14:paraId="071D0D3C">
      <w:pPr>
        <w:pStyle w:val="3"/>
        <w:keepNext w:val="0"/>
        <w:keepLines w:val="0"/>
        <w:pageBreakBefore w:val="0"/>
        <w:widowControl w:val="0"/>
        <w:numPr>
          <w:ilvl w:val="0"/>
          <w:numId w:val="0"/>
        </w:numPr>
        <w:kinsoku/>
        <w:wordWrap/>
        <w:overflowPunct/>
        <w:topLinePunct w:val="0"/>
        <w:autoSpaceDE/>
        <w:autoSpaceDN/>
        <w:bidi w:val="0"/>
        <w:spacing w:line="576" w:lineRule="exact"/>
        <w:ind w:firstLine="643" w:firstLineChars="200"/>
        <w:textAlignment w:val="auto"/>
        <w:rPr>
          <w:rFonts w:hint="default" w:ascii="Times New Roman" w:hAnsi="Times New Roman" w:eastAsia="国标仿宋-GB/T 2312" w:cs="Times New Roman"/>
          <w:b w:val="0"/>
          <w:bCs w:val="0"/>
          <w:color w:val="auto"/>
          <w:spacing w:val="0"/>
          <w:kern w:val="2"/>
          <w:sz w:val="32"/>
          <w:szCs w:val="32"/>
          <w:shd w:val="clear" w:color="auto" w:fill="auto"/>
          <w:lang w:val="en-US" w:eastAsia="zh-CN" w:bidi="ar-SA"/>
        </w:rPr>
      </w:pPr>
      <w:r>
        <w:rPr>
          <w:rFonts w:hint="default" w:ascii="Times New Roman" w:hAnsi="Times New Roman" w:eastAsia="国标仿宋-GB/T 2312" w:cs="Times New Roman"/>
          <w:b/>
          <w:bCs/>
          <w:color w:val="auto"/>
          <w:spacing w:val="0"/>
          <w:kern w:val="2"/>
          <w:sz w:val="32"/>
          <w:szCs w:val="32"/>
          <w:shd w:val="clear" w:color="auto" w:fill="auto"/>
          <w:lang w:val="en-US" w:eastAsia="zh-CN" w:bidi="ar-SA"/>
        </w:rPr>
        <w:t>程序</w:t>
      </w:r>
      <w:r>
        <w:rPr>
          <w:rFonts w:hint="default" w:ascii="Times New Roman" w:hAnsi="Times New Roman" w:eastAsia="国标仿宋-GB/T 2312" w:cs="Times New Roman"/>
          <w:b w:val="0"/>
          <w:bCs w:val="0"/>
          <w:color w:val="auto"/>
          <w:spacing w:val="0"/>
          <w:kern w:val="2"/>
          <w:sz w:val="32"/>
          <w:szCs w:val="32"/>
          <w:shd w:val="clear" w:color="auto" w:fill="auto"/>
          <w:lang w:val="en-US" w:eastAsia="zh-CN" w:bidi="ar-SA"/>
        </w:rPr>
        <w:t>：</w:t>
      </w:r>
    </w:p>
    <w:p w14:paraId="48BA4804">
      <w:pPr>
        <w:pStyle w:val="3"/>
        <w:keepNext w:val="0"/>
        <w:keepLines w:val="0"/>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color w:val="auto"/>
          <w:spacing w:val="0"/>
          <w:kern w:val="2"/>
          <w:sz w:val="32"/>
          <w:szCs w:val="32"/>
          <w:shd w:val="clear" w:color="auto" w:fill="auto"/>
        </w:rPr>
      </w:pPr>
      <w:r>
        <w:rPr>
          <w:rFonts w:hint="default" w:ascii="Times New Roman" w:hAnsi="Times New Roman" w:eastAsia="国标仿宋-GB/T 2312" w:cs="Times New Roman"/>
          <w:b w:val="0"/>
          <w:bCs w:val="0"/>
          <w:color w:val="auto"/>
          <w:spacing w:val="0"/>
          <w:kern w:val="2"/>
          <w:sz w:val="32"/>
          <w:szCs w:val="32"/>
          <w:shd w:val="clear" w:color="auto" w:fill="auto"/>
          <w:lang w:val="en-US" w:eastAsia="zh-CN" w:bidi="ar-SA"/>
        </w:rPr>
        <w:t>1.申请人有工作单位的，向所在单位提出申请，由所在单位及时审查评定残疾等级申请，出具书面意见并加盖单位公章，连同相关材料一并报送户籍地县级人民政府退役军人工作主管部门审查</w:t>
      </w:r>
      <w:r>
        <w:rPr>
          <w:rFonts w:hint="eastAsia" w:ascii="Times New Roman" w:hAnsi="Times New Roman" w:eastAsia="国标仿宋-GB/T 2312" w:cs="Times New Roman"/>
          <w:b w:val="0"/>
          <w:bCs w:val="0"/>
          <w:color w:val="auto"/>
          <w:spacing w:val="0"/>
          <w:kern w:val="2"/>
          <w:sz w:val="32"/>
          <w:szCs w:val="32"/>
          <w:shd w:val="clear" w:color="auto" w:fill="auto"/>
          <w:lang w:val="en-US" w:eastAsia="zh-CN" w:bidi="ar-SA"/>
        </w:rPr>
        <w:t>。</w:t>
      </w:r>
      <w:r>
        <w:rPr>
          <w:rFonts w:hint="default" w:ascii="Times New Roman" w:hAnsi="Times New Roman" w:eastAsia="国标仿宋-GB/T 2312" w:cs="Times New Roman"/>
          <w:b w:val="0"/>
          <w:bCs w:val="0"/>
          <w:color w:val="auto"/>
          <w:spacing w:val="0"/>
          <w:kern w:val="2"/>
          <w:sz w:val="32"/>
          <w:szCs w:val="32"/>
          <w:shd w:val="clear" w:color="auto" w:fill="auto"/>
          <w:lang w:val="en-US" w:eastAsia="zh-CN" w:bidi="ar-SA"/>
        </w:rPr>
        <w:t>没有工作单位的或者以原致残部位申请评定残疾等级的，由本人直接向户籍地县级人民政府退役军人工作主管部门提出申请。</w:t>
      </w:r>
    </w:p>
    <w:p w14:paraId="5142624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2.县级退役军人工作主管部门审核；</w:t>
      </w:r>
    </w:p>
    <w:p w14:paraId="72392EC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w:t>
      </w:r>
      <w:r>
        <w:rPr>
          <w:rFonts w:hint="eastAsia" w:ascii="Times New Roman" w:hAnsi="Times New Roman" w:eastAsia="国标仿宋-GB/T 2312" w:cs="Times New Roman"/>
          <w:color w:val="auto"/>
          <w:spacing w:val="0"/>
          <w:kern w:val="2"/>
          <w:sz w:val="32"/>
          <w:szCs w:val="32"/>
          <w:shd w:val="clear" w:color="auto" w:fill="auto"/>
          <w:lang w:val="en-US" w:eastAsia="zh-CN"/>
        </w:rPr>
        <w:t>市级</w:t>
      </w:r>
      <w:r>
        <w:rPr>
          <w:rFonts w:hint="default" w:ascii="Times New Roman" w:hAnsi="Times New Roman" w:eastAsia="国标仿宋-GB/T 2312" w:cs="Times New Roman"/>
          <w:color w:val="auto"/>
          <w:spacing w:val="0"/>
          <w:sz w:val="32"/>
          <w:szCs w:val="32"/>
          <w:u w:val="none"/>
          <w:lang w:val="en-US" w:eastAsia="zh-CN"/>
        </w:rPr>
        <w:t>退役军人工作主管部门审核；</w:t>
      </w:r>
    </w:p>
    <w:p w14:paraId="10ECCC0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4.省级退役军人工作主管部门审核；</w:t>
      </w:r>
    </w:p>
    <w:p w14:paraId="3CF1D6A0">
      <w:pPr>
        <w:pStyle w:val="3"/>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5.符合条件的</w:t>
      </w:r>
      <w:r>
        <w:rPr>
          <w:rFonts w:hint="eastAsia" w:ascii="Times New Roman" w:hAnsi="Times New Roman" w:eastAsia="国标仿宋-GB/T 2312" w:cs="Times New Roman"/>
          <w:color w:val="auto"/>
          <w:spacing w:val="0"/>
          <w:sz w:val="32"/>
          <w:szCs w:val="32"/>
          <w:u w:val="none"/>
          <w:lang w:val="en-US" w:eastAsia="zh-CN"/>
        </w:rPr>
        <w:t>，</w:t>
      </w:r>
      <w:r>
        <w:rPr>
          <w:rFonts w:hint="default" w:ascii="Times New Roman" w:hAnsi="Times New Roman" w:eastAsia="国标仿宋-GB/T 2312" w:cs="Times New Roman"/>
          <w:color w:val="auto"/>
          <w:spacing w:val="0"/>
          <w:sz w:val="32"/>
          <w:szCs w:val="32"/>
          <w:u w:val="none"/>
          <w:lang w:val="en-US" w:eastAsia="zh-CN"/>
        </w:rPr>
        <w:t>由省级退役军人工作主管部门逐级通知县级退役军人工作主管部门对申请人评残情况进行公示；不符合条件的，填写《残疾等级评定结果告知书》，连同申请人提供的材料逐级退还申请人或者其所在单位；</w:t>
      </w:r>
    </w:p>
    <w:p w14:paraId="3FB3F00F">
      <w:pPr>
        <w:pStyle w:val="3"/>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6.办理伤残人员证。</w:t>
      </w:r>
    </w:p>
    <w:p w14:paraId="2829D13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办理时限：</w:t>
      </w:r>
    </w:p>
    <w:p w14:paraId="50389BCE">
      <w:pPr>
        <w:pStyle w:val="3"/>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1.县级退役军人工作主管部门在报请地市级退役军人工作主管部门审核同意后20个工作日内审查完毕；</w:t>
      </w:r>
    </w:p>
    <w:p w14:paraId="27067356">
      <w:pPr>
        <w:pStyle w:val="3"/>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eastAsia="国标仿宋-GB/T 2312" w:cs="Times New Roman"/>
          <w:spacing w:val="0"/>
          <w:lang w:val="en-US" w:eastAsia="zh-CN"/>
        </w:rPr>
      </w:pPr>
      <w:r>
        <w:rPr>
          <w:rFonts w:hint="default" w:ascii="Times New Roman" w:hAnsi="Times New Roman" w:eastAsia="国标仿宋-GB/T 2312" w:cs="Times New Roman"/>
          <w:color w:val="auto"/>
          <w:spacing w:val="0"/>
          <w:w w:val="98"/>
          <w:sz w:val="32"/>
          <w:szCs w:val="32"/>
          <w:u w:val="none"/>
          <w:lang w:val="en-US" w:eastAsia="zh-CN"/>
        </w:rPr>
        <w:t>2.县级退役军人工作主管部门在收到医疗卫生专家小组意见之日起20个工作日内审核完毕；</w:t>
      </w:r>
    </w:p>
    <w:p w14:paraId="65B5422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w:t>
      </w:r>
      <w:r>
        <w:rPr>
          <w:rFonts w:hint="eastAsia" w:ascii="Times New Roman" w:hAnsi="Times New Roman" w:eastAsia="国标仿宋-GB/T 2312" w:cs="Times New Roman"/>
          <w:color w:val="auto"/>
          <w:spacing w:val="0"/>
          <w:sz w:val="32"/>
          <w:szCs w:val="32"/>
          <w:u w:val="none"/>
          <w:lang w:val="en-US" w:eastAsia="zh-CN"/>
        </w:rPr>
        <w:t>市级</w:t>
      </w:r>
      <w:r>
        <w:rPr>
          <w:rFonts w:hint="default" w:ascii="Times New Roman" w:hAnsi="Times New Roman" w:eastAsia="国标仿宋-GB/T 2312" w:cs="Times New Roman"/>
          <w:color w:val="auto"/>
          <w:spacing w:val="0"/>
          <w:sz w:val="32"/>
          <w:szCs w:val="32"/>
          <w:u w:val="none"/>
          <w:lang w:val="en-US" w:eastAsia="zh-CN"/>
        </w:rPr>
        <w:t>退役军人工作主管部门在收到上报材料后20个工作日内审核完毕；</w:t>
      </w:r>
    </w:p>
    <w:p w14:paraId="180D343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4.省级退役军人工作主管部门自收到材料之日起40个工作日内逐级通知公示或退回材料。</w:t>
      </w:r>
    </w:p>
    <w:p w14:paraId="6CE4558A">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申请材料：</w:t>
      </w:r>
    </w:p>
    <w:p w14:paraId="4640450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1.书面申请；</w:t>
      </w:r>
    </w:p>
    <w:p w14:paraId="1776D90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 w:eastAsia="zh-CN"/>
        </w:rPr>
        <w:t>2.</w:t>
      </w:r>
      <w:r>
        <w:rPr>
          <w:rFonts w:hint="default" w:ascii="Times New Roman" w:hAnsi="Times New Roman" w:eastAsia="国标仿宋-GB/T 2312" w:cs="Times New Roman"/>
          <w:color w:val="auto"/>
          <w:spacing w:val="0"/>
          <w:sz w:val="32"/>
          <w:szCs w:val="32"/>
          <w:u w:val="none"/>
          <w:lang w:val="en-US" w:eastAsia="zh-CN"/>
        </w:rPr>
        <w:t>身份证或者居民户口簿复印件；</w:t>
      </w:r>
    </w:p>
    <w:p w14:paraId="3B98512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3.退役军人证（退役军人登记表）、人民警察证等证件复印件；</w:t>
      </w:r>
    </w:p>
    <w:p w14:paraId="78F5C63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4.近期二寸免冠彩色照片；</w:t>
      </w:r>
    </w:p>
    <w:p w14:paraId="26FE728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5.申请新办评定残疾等级的还应当提交致残经过证明和医疗诊断证明。</w:t>
      </w:r>
    </w:p>
    <w:p w14:paraId="4A497A16">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楷体-GB/T 2312" w:cs="Times New Roman"/>
          <w:b w:val="0"/>
          <w:bCs w:val="0"/>
          <w:color w:val="auto"/>
          <w:spacing w:val="0"/>
          <w:sz w:val="32"/>
          <w:szCs w:val="32"/>
          <w:u w:val="none"/>
          <w:lang w:eastAsia="zh-CN"/>
        </w:rPr>
      </w:pPr>
      <w:r>
        <w:rPr>
          <w:rFonts w:hint="default" w:ascii="Times New Roman" w:hAnsi="Times New Roman" w:eastAsia="国标楷体-GB/T 2312" w:cs="Times New Roman"/>
          <w:b w:val="0"/>
          <w:bCs w:val="0"/>
          <w:color w:val="auto"/>
          <w:spacing w:val="0"/>
          <w:sz w:val="32"/>
          <w:szCs w:val="32"/>
          <w:u w:val="none"/>
          <w:lang w:eastAsia="zh-CN"/>
        </w:rPr>
        <w:t>（二）伤残抚恤管理转移的确定。</w:t>
      </w:r>
    </w:p>
    <w:p w14:paraId="332E5C8B">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行政确认。</w:t>
      </w:r>
    </w:p>
    <w:p w14:paraId="6F5DD44C">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350C3CF4">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000000"/>
          <w:spacing w:val="0"/>
          <w:sz w:val="32"/>
          <w:szCs w:val="32"/>
          <w:shd w:val="clear" w:color="auto" w:fill="FFFFFF"/>
        </w:rPr>
      </w:pPr>
      <w:r>
        <w:rPr>
          <w:rFonts w:hint="default" w:ascii="Times New Roman" w:hAnsi="Times New Roman" w:eastAsia="国标仿宋-GB/T 2312" w:cs="Times New Roman"/>
          <w:color w:val="auto"/>
          <w:spacing w:val="0"/>
          <w:sz w:val="32"/>
          <w:szCs w:val="32"/>
          <w:u w:val="none"/>
          <w:lang w:eastAsia="zh-CN"/>
        </w:rPr>
        <w:t xml:space="preserve">《伤残抚恤管理办法》第二十条 </w:t>
      </w:r>
      <w:r>
        <w:rPr>
          <w:rFonts w:hint="default" w:ascii="Times New Roman" w:hAnsi="Times New Roman" w:eastAsia="国标仿宋-GB/T 2312" w:cs="Times New Roman"/>
          <w:color w:val="000000"/>
          <w:spacing w:val="0"/>
          <w:sz w:val="32"/>
          <w:szCs w:val="32"/>
          <w:shd w:val="clear" w:color="auto" w:fill="FFFFFF"/>
        </w:rPr>
        <w:t>残疾军人退役或者向政府移交，</w:t>
      </w:r>
      <w:r>
        <w:rPr>
          <w:rFonts w:hint="default" w:ascii="Times New Roman" w:hAnsi="Times New Roman" w:eastAsia="国标仿宋-GB/T 2312" w:cs="Times New Roman"/>
          <w:color w:val="000000"/>
          <w:spacing w:val="0"/>
          <w:sz w:val="32"/>
          <w:szCs w:val="32"/>
          <w:shd w:val="clear" w:color="auto" w:fill="FFFFFF"/>
          <w:lang w:eastAsia="zh-CN"/>
        </w:rPr>
        <w:t>应当</w:t>
      </w:r>
      <w:r>
        <w:rPr>
          <w:rFonts w:hint="default" w:ascii="Times New Roman" w:hAnsi="Times New Roman" w:eastAsia="国标仿宋-GB/T 2312" w:cs="Times New Roman"/>
          <w:color w:val="000000"/>
          <w:spacing w:val="0"/>
          <w:sz w:val="32"/>
          <w:szCs w:val="32"/>
          <w:shd w:val="clear" w:color="auto" w:fill="FFFFFF"/>
        </w:rPr>
        <w:t>自军队办理了退役手续或者移交手续后60日内，向户籍迁入地的县级人民政府</w:t>
      </w:r>
      <w:r>
        <w:rPr>
          <w:rFonts w:hint="default" w:ascii="Times New Roman" w:hAnsi="Times New Roman" w:eastAsia="国标仿宋-GB/T 2312" w:cs="Times New Roman"/>
          <w:color w:val="000000"/>
          <w:spacing w:val="0"/>
          <w:sz w:val="32"/>
          <w:szCs w:val="32"/>
          <w:shd w:val="clear" w:color="auto" w:fill="FFFFFF"/>
          <w:lang w:eastAsia="zh-CN"/>
        </w:rPr>
        <w:t>退役军人工作主管部门</w:t>
      </w:r>
      <w:r>
        <w:rPr>
          <w:rFonts w:hint="default" w:ascii="Times New Roman" w:hAnsi="Times New Roman" w:eastAsia="国标仿宋-GB/T 2312" w:cs="Times New Roman"/>
          <w:color w:val="000000"/>
          <w:spacing w:val="0"/>
          <w:sz w:val="32"/>
          <w:szCs w:val="32"/>
          <w:shd w:val="clear" w:color="auto" w:fill="FFFFFF"/>
        </w:rPr>
        <w:t>申请转入抚恤关系。</w:t>
      </w:r>
    </w:p>
    <w:p w14:paraId="47B9E1E9">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条件：</w:t>
      </w:r>
      <w:r>
        <w:rPr>
          <w:rFonts w:hint="default" w:ascii="Times New Roman" w:hAnsi="Times New Roman" w:eastAsia="国标仿宋-GB/T 2312" w:cs="Times New Roman"/>
          <w:color w:val="auto"/>
          <w:spacing w:val="0"/>
          <w:sz w:val="32"/>
          <w:szCs w:val="32"/>
          <w:u w:val="none"/>
          <w:lang w:val="en-US" w:eastAsia="zh-CN"/>
        </w:rPr>
        <w:t>残疾退役军人。</w:t>
      </w:r>
    </w:p>
    <w:p w14:paraId="72D0BAFB">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1C74154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1.向户籍迁入地县级人民政府退役军人工作主管部门申请；</w:t>
      </w:r>
    </w:p>
    <w:p w14:paraId="0F5BF6B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2.县级退役军人工作主管部门审核；</w:t>
      </w:r>
    </w:p>
    <w:p w14:paraId="5E944D9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w:t>
      </w:r>
      <w:r>
        <w:rPr>
          <w:rFonts w:hint="eastAsia" w:ascii="Times New Roman" w:hAnsi="Times New Roman" w:eastAsia="国标仿宋-GB/T 2312" w:cs="Times New Roman"/>
          <w:color w:val="auto"/>
          <w:spacing w:val="0"/>
          <w:sz w:val="32"/>
          <w:szCs w:val="32"/>
          <w:u w:val="none"/>
          <w:lang w:val="en-US" w:eastAsia="zh-CN"/>
        </w:rPr>
        <w:t>市级</w:t>
      </w:r>
      <w:r>
        <w:rPr>
          <w:rFonts w:hint="default" w:ascii="Times New Roman" w:hAnsi="Times New Roman" w:eastAsia="国标仿宋-GB/T 2312" w:cs="Times New Roman"/>
          <w:color w:val="auto"/>
          <w:spacing w:val="0"/>
          <w:sz w:val="32"/>
          <w:szCs w:val="32"/>
          <w:u w:val="none"/>
          <w:lang w:val="en-US" w:eastAsia="zh-CN"/>
        </w:rPr>
        <w:t>退役军人工作主管部门审核；</w:t>
      </w:r>
    </w:p>
    <w:p w14:paraId="7866BC8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4.省级退役军人工作主管部门审核。</w:t>
      </w:r>
    </w:p>
    <w:p w14:paraId="6A3F6987">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办理时限：</w:t>
      </w:r>
      <w:r>
        <w:rPr>
          <w:rFonts w:hint="default" w:ascii="Times New Roman" w:hAnsi="Times New Roman" w:eastAsia="国标仿宋-GB/T 2312" w:cs="Times New Roman"/>
          <w:color w:val="auto"/>
          <w:spacing w:val="0"/>
          <w:sz w:val="32"/>
          <w:szCs w:val="32"/>
          <w:u w:val="none"/>
          <w:lang w:eastAsia="zh-CN"/>
        </w:rPr>
        <w:t>各级退役军人工作主管部门应当在</w:t>
      </w:r>
      <w:r>
        <w:rPr>
          <w:rFonts w:hint="default" w:ascii="Times New Roman" w:hAnsi="Times New Roman" w:eastAsia="国标仿宋-GB/T 2312" w:cs="Times New Roman"/>
          <w:color w:val="auto"/>
          <w:spacing w:val="0"/>
          <w:sz w:val="32"/>
          <w:szCs w:val="32"/>
          <w:u w:val="none"/>
          <w:lang w:val="en-US" w:eastAsia="zh-CN"/>
        </w:rPr>
        <w:t>20个工作日内完成本级需要办理的事项。</w:t>
      </w:r>
    </w:p>
    <w:p w14:paraId="23AEFE2A">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申请材料：</w:t>
      </w:r>
    </w:p>
    <w:p w14:paraId="4AA375F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1.</w:t>
      </w:r>
      <w:r>
        <w:rPr>
          <w:rFonts w:hint="default" w:ascii="Times New Roman" w:hAnsi="Times New Roman" w:eastAsia="国标仿宋-GB/T 2312" w:cs="Times New Roman"/>
          <w:color w:val="auto"/>
          <w:spacing w:val="0"/>
          <w:sz w:val="32"/>
          <w:szCs w:val="32"/>
          <w:u w:val="none"/>
          <w:lang w:eastAsia="zh-CN"/>
        </w:rPr>
        <w:t>户口登记簿；</w:t>
      </w:r>
    </w:p>
    <w:p w14:paraId="70AEF01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2.残疾军人证</w:t>
      </w:r>
      <w:r>
        <w:rPr>
          <w:rFonts w:hint="default" w:ascii="Times New Roman" w:hAnsi="Times New Roman" w:eastAsia="国标仿宋-GB/T 2312" w:cs="Times New Roman"/>
          <w:color w:val="auto"/>
          <w:spacing w:val="0"/>
          <w:sz w:val="32"/>
          <w:szCs w:val="32"/>
          <w:u w:val="none"/>
          <w:lang w:eastAsia="zh-CN"/>
        </w:rPr>
        <w:t>；</w:t>
      </w:r>
    </w:p>
    <w:p w14:paraId="5DE6A6E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3.军队相关部门监制的《军人残疾等级评定表》；</w:t>
      </w:r>
    </w:p>
    <w:p w14:paraId="52E967E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4.《伤残人员关系转移证明》；</w:t>
      </w:r>
    </w:p>
    <w:p w14:paraId="4C373CF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方正仿宋简体" w:cs="Times New Roman"/>
          <w:b/>
          <w:bCs/>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5.退役证件或者移交政府安置的相关证明</w:t>
      </w:r>
      <w:r>
        <w:rPr>
          <w:rFonts w:hint="default" w:ascii="Times New Roman" w:hAnsi="Times New Roman" w:eastAsia="国标仿宋-GB/T 2312" w:cs="Times New Roman"/>
          <w:color w:val="auto"/>
          <w:spacing w:val="0"/>
          <w:sz w:val="32"/>
          <w:szCs w:val="32"/>
          <w:u w:val="none"/>
          <w:lang w:eastAsia="zh-CN"/>
        </w:rPr>
        <w:t>。</w:t>
      </w:r>
    </w:p>
    <w:p w14:paraId="18AE59B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国标楷体-GB/T 2312" w:cs="Times New Roman"/>
          <w:b w:val="0"/>
          <w:bCs w:val="0"/>
          <w:color w:val="auto"/>
          <w:spacing w:val="0"/>
          <w:sz w:val="32"/>
          <w:szCs w:val="32"/>
          <w:u w:val="none"/>
          <w:lang w:eastAsia="zh-CN"/>
        </w:rPr>
      </w:pPr>
      <w:r>
        <w:rPr>
          <w:rFonts w:hint="default" w:ascii="Times New Roman" w:hAnsi="Times New Roman" w:eastAsia="国标楷体-GB/T 2312" w:cs="Times New Roman"/>
          <w:b w:val="0"/>
          <w:bCs w:val="0"/>
          <w:color w:val="auto"/>
          <w:spacing w:val="0"/>
          <w:sz w:val="32"/>
          <w:szCs w:val="32"/>
          <w:u w:val="none"/>
          <w:lang w:eastAsia="zh-CN"/>
        </w:rPr>
        <w:t>（三）对退出现役残疾退役军人集中供养的确定。</w:t>
      </w:r>
    </w:p>
    <w:p w14:paraId="73EA0CE5">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行政确认。</w:t>
      </w:r>
    </w:p>
    <w:p w14:paraId="37C1C875">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41B0862F">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eastAsia="zh-CN"/>
        </w:rPr>
        <w:t>《军人抚恤优待条例》第三十三条 退出现役时为一级至四级的</w:t>
      </w:r>
      <w:r>
        <w:rPr>
          <w:rFonts w:hint="default" w:ascii="Times New Roman" w:hAnsi="Times New Roman" w:eastAsia="国标仿宋-GB/T 2312" w:cs="Times New Roman"/>
          <w:color w:val="000000"/>
          <w:spacing w:val="0"/>
          <w:sz w:val="32"/>
          <w:szCs w:val="32"/>
          <w:shd w:val="clear" w:color="auto" w:fill="FFFFFF"/>
        </w:rPr>
        <w:t>残疾军人</w:t>
      </w:r>
      <w:r>
        <w:rPr>
          <w:rFonts w:hint="default" w:ascii="Times New Roman" w:hAnsi="Times New Roman" w:eastAsia="国标仿宋-GB/T 2312" w:cs="Times New Roman"/>
          <w:color w:val="000000"/>
          <w:spacing w:val="0"/>
          <w:sz w:val="32"/>
          <w:szCs w:val="32"/>
          <w:shd w:val="clear" w:color="auto" w:fill="FFFFFF"/>
          <w:lang w:eastAsia="zh-CN"/>
        </w:rPr>
        <w:t>，由国家供养终身；其中，对需要长年医疗或者独身一人不便分散供养的，经省级人民政府退役军人工作主管部门批准，可以集中供养</w:t>
      </w:r>
      <w:r>
        <w:rPr>
          <w:rFonts w:hint="default" w:ascii="Times New Roman" w:hAnsi="Times New Roman" w:eastAsia="国标仿宋-GB/T 2312" w:cs="Times New Roman"/>
          <w:color w:val="000000"/>
          <w:spacing w:val="0"/>
          <w:sz w:val="32"/>
          <w:szCs w:val="32"/>
          <w:shd w:val="clear" w:color="auto" w:fill="FFFFFF"/>
        </w:rPr>
        <w:t>。</w:t>
      </w:r>
    </w:p>
    <w:p w14:paraId="724F36B5">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000000"/>
          <w:spacing w:val="0"/>
          <w:sz w:val="32"/>
          <w:szCs w:val="32"/>
          <w:shd w:val="clear" w:color="auto" w:fill="FFFFFF"/>
          <w:lang w:val="en-US" w:eastAsia="zh-CN"/>
        </w:rPr>
      </w:pPr>
      <w:r>
        <w:rPr>
          <w:rFonts w:hint="default" w:ascii="Times New Roman" w:hAnsi="Times New Roman" w:eastAsia="国标仿宋-GB/T 2312" w:cs="Times New Roman"/>
          <w:b/>
          <w:bCs/>
          <w:color w:val="auto"/>
          <w:spacing w:val="0"/>
          <w:sz w:val="32"/>
          <w:szCs w:val="32"/>
          <w:u w:val="none"/>
        </w:rPr>
        <w:t>条件：</w:t>
      </w:r>
      <w:r>
        <w:rPr>
          <w:rFonts w:hint="eastAsia" w:ascii="Times New Roman" w:hAnsi="Times New Roman" w:eastAsia="国标仿宋-GB/T 2312" w:cs="Times New Roman"/>
          <w:color w:val="000000"/>
          <w:spacing w:val="0"/>
          <w:sz w:val="32"/>
          <w:szCs w:val="32"/>
          <w:shd w:val="clear" w:color="auto" w:fill="FFFFFF"/>
          <w:lang w:val="en-US" w:eastAsia="zh-CN"/>
        </w:rPr>
        <w:t>退出现役时为一至四级的</w:t>
      </w:r>
      <w:r>
        <w:rPr>
          <w:rFonts w:hint="default" w:ascii="Times New Roman" w:hAnsi="Times New Roman" w:eastAsia="国标仿宋-GB/T 2312" w:cs="Times New Roman"/>
          <w:color w:val="000000"/>
          <w:spacing w:val="0"/>
          <w:sz w:val="32"/>
          <w:szCs w:val="32"/>
          <w:shd w:val="clear" w:color="auto" w:fill="FFFFFF"/>
          <w:lang w:val="en-US" w:eastAsia="zh-CN"/>
        </w:rPr>
        <w:t>残疾军人</w:t>
      </w:r>
      <w:r>
        <w:rPr>
          <w:rFonts w:hint="eastAsia" w:ascii="Times New Roman" w:hAnsi="Times New Roman" w:eastAsia="国标仿宋-GB/T 2312" w:cs="Times New Roman"/>
          <w:color w:val="000000"/>
          <w:spacing w:val="0"/>
          <w:sz w:val="32"/>
          <w:szCs w:val="32"/>
          <w:shd w:val="clear" w:color="auto" w:fill="FFFFFF"/>
          <w:lang w:val="en-US" w:eastAsia="zh-CN"/>
        </w:rPr>
        <w:t>且安置在西藏有集中供养意愿的。</w:t>
      </w:r>
    </w:p>
    <w:p w14:paraId="092A4D19">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770E1E6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1.本人或监护人向户籍所在地县级人民政府退役军人工作主管部门提出集中供养申请；</w:t>
      </w:r>
    </w:p>
    <w:p w14:paraId="00CEC4E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2.县级退役军人工作主管部门审核；</w:t>
      </w:r>
    </w:p>
    <w:p w14:paraId="2E6270C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w:t>
      </w:r>
      <w:r>
        <w:rPr>
          <w:rFonts w:hint="eastAsia" w:ascii="Times New Roman" w:hAnsi="Times New Roman" w:eastAsia="国标仿宋-GB/T 2312" w:cs="Times New Roman"/>
          <w:color w:val="auto"/>
          <w:spacing w:val="0"/>
          <w:sz w:val="32"/>
          <w:szCs w:val="32"/>
          <w:u w:val="none"/>
          <w:lang w:val="en-US" w:eastAsia="zh-CN"/>
        </w:rPr>
        <w:t>市级</w:t>
      </w:r>
      <w:r>
        <w:rPr>
          <w:rFonts w:hint="default" w:ascii="Times New Roman" w:hAnsi="Times New Roman" w:eastAsia="国标仿宋-GB/T 2312" w:cs="Times New Roman"/>
          <w:color w:val="auto"/>
          <w:spacing w:val="0"/>
          <w:sz w:val="32"/>
          <w:szCs w:val="32"/>
          <w:u w:val="none"/>
          <w:lang w:val="en-US" w:eastAsia="zh-CN"/>
        </w:rPr>
        <w:t>退役军人工作主管部门审核；</w:t>
      </w:r>
    </w:p>
    <w:p w14:paraId="58276EC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4.省级退役军人工作主管部门审核确认。</w:t>
      </w:r>
    </w:p>
    <w:p w14:paraId="1C777FD4">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办理时限：</w:t>
      </w:r>
      <w:r>
        <w:rPr>
          <w:rFonts w:hint="default" w:ascii="Times New Roman" w:hAnsi="Times New Roman" w:eastAsia="国标仿宋-GB/T 2312" w:cs="Times New Roman"/>
          <w:color w:val="auto"/>
          <w:spacing w:val="0"/>
          <w:sz w:val="32"/>
          <w:szCs w:val="32"/>
          <w:u w:val="none"/>
          <w:lang w:eastAsia="zh-CN"/>
        </w:rPr>
        <w:t>省级以下退役军人工作主管部门应当在</w:t>
      </w:r>
      <w:r>
        <w:rPr>
          <w:rFonts w:hint="default" w:ascii="Times New Roman" w:hAnsi="Times New Roman" w:eastAsia="国标仿宋-GB/T 2312" w:cs="Times New Roman"/>
          <w:color w:val="auto"/>
          <w:spacing w:val="0"/>
          <w:sz w:val="32"/>
          <w:szCs w:val="32"/>
          <w:u w:val="none"/>
          <w:lang w:val="en-US" w:eastAsia="zh-CN"/>
        </w:rPr>
        <w:t>5个工作日内完成本级需要办理的事项，省级退役军人工作主管部门应当在10个工作日内完成本级需要办理的事项。</w:t>
      </w:r>
    </w:p>
    <w:p w14:paraId="4F205CE4">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申请材料：</w:t>
      </w:r>
    </w:p>
    <w:p w14:paraId="78E67FE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1.</w:t>
      </w:r>
      <w:r>
        <w:rPr>
          <w:rFonts w:hint="default" w:ascii="Times New Roman" w:hAnsi="Times New Roman" w:eastAsia="国标仿宋-GB/T 2312" w:cs="Times New Roman"/>
          <w:color w:val="auto"/>
          <w:spacing w:val="0"/>
          <w:sz w:val="32"/>
          <w:szCs w:val="32"/>
          <w:u w:val="none"/>
          <w:lang w:eastAsia="zh-CN"/>
        </w:rPr>
        <w:t>户籍登记簿；</w:t>
      </w:r>
    </w:p>
    <w:p w14:paraId="70198E7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2.残疾军人证</w:t>
      </w:r>
      <w:r>
        <w:rPr>
          <w:rFonts w:hint="default" w:ascii="Times New Roman" w:hAnsi="Times New Roman" w:eastAsia="国标仿宋-GB/T 2312" w:cs="Times New Roman"/>
          <w:color w:val="auto"/>
          <w:spacing w:val="0"/>
          <w:sz w:val="32"/>
          <w:szCs w:val="32"/>
          <w:u w:val="none"/>
          <w:lang w:eastAsia="zh-CN"/>
        </w:rPr>
        <w:t>；</w:t>
      </w:r>
    </w:p>
    <w:p w14:paraId="0AC708F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3.军队相关部门监制的《军人残疾等级评定表》；</w:t>
      </w:r>
    </w:p>
    <w:p w14:paraId="3B072C6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4.集中供养申请</w:t>
      </w:r>
      <w:r>
        <w:rPr>
          <w:rFonts w:hint="default" w:ascii="Times New Roman" w:hAnsi="Times New Roman" w:eastAsia="国标仿宋-GB/T 2312" w:cs="Times New Roman"/>
          <w:color w:val="auto"/>
          <w:spacing w:val="0"/>
          <w:sz w:val="32"/>
          <w:szCs w:val="32"/>
          <w:u w:val="none"/>
          <w:lang w:eastAsia="zh-CN"/>
        </w:rPr>
        <w:t>。</w:t>
      </w:r>
    </w:p>
    <w:p w14:paraId="56A8CD1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国标楷体-GB/T 2312" w:hAnsi="国标楷体-GB/T 2312" w:eastAsia="国标楷体-GB/T 2312" w:cs="国标楷体-GB/T 2312"/>
          <w:b/>
          <w:bCs/>
          <w:color w:val="auto"/>
          <w:spacing w:val="0"/>
          <w:sz w:val="32"/>
          <w:szCs w:val="32"/>
          <w:u w:val="none"/>
          <w:lang w:eastAsia="zh-CN"/>
        </w:rPr>
      </w:pPr>
      <w:r>
        <w:rPr>
          <w:rFonts w:hint="eastAsia" w:ascii="国标楷体-GB/T 2312" w:hAnsi="国标楷体-GB/T 2312" w:eastAsia="国标楷体-GB/T 2312" w:cs="国标楷体-GB/T 2312"/>
          <w:b w:val="0"/>
          <w:bCs w:val="0"/>
          <w:color w:val="auto"/>
          <w:spacing w:val="0"/>
          <w:sz w:val="32"/>
          <w:szCs w:val="32"/>
          <w:u w:val="none"/>
          <w:lang w:eastAsia="zh-CN"/>
        </w:rPr>
        <w:t>（四）退役军人异地安置的确定。</w:t>
      </w:r>
    </w:p>
    <w:p w14:paraId="14A938C0">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行政确认。</w:t>
      </w:r>
    </w:p>
    <w:p w14:paraId="290F4168">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01C0CBFE">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eastAsia="zh-CN"/>
        </w:rPr>
        <w:t>《退役军人安置条例》第四十五条</w:t>
      </w:r>
      <w:r>
        <w:rPr>
          <w:rFonts w:hint="default" w:ascii="Times New Roman" w:hAnsi="Times New Roman" w:eastAsia="国标仿宋-GB/T 2312" w:cs="Times New Roman"/>
          <w:color w:val="auto"/>
          <w:spacing w:val="0"/>
          <w:sz w:val="32"/>
          <w:szCs w:val="32"/>
          <w:u w:val="none"/>
          <w:lang w:val="en" w:eastAsia="zh-CN"/>
        </w:rPr>
        <w:t xml:space="preserve"> </w:t>
      </w:r>
      <w:r>
        <w:rPr>
          <w:rFonts w:hint="default" w:ascii="Times New Roman" w:hAnsi="Times New Roman" w:eastAsia="国标仿宋-GB/T 2312" w:cs="Times New Roman"/>
          <w:color w:val="auto"/>
          <w:spacing w:val="0"/>
          <w:sz w:val="32"/>
          <w:szCs w:val="32"/>
          <w:u w:val="none"/>
          <w:lang w:eastAsia="zh-CN"/>
        </w:rPr>
        <w:t>退役义务兵和以自主就业、安排工作、供养方式安置的退役军士的安置地为其入伍时</w:t>
      </w:r>
      <w:r>
        <w:rPr>
          <w:rFonts w:hint="eastAsia" w:ascii="Times New Roman" w:hAnsi="Times New Roman" w:eastAsia="国标仿宋-GB/T 2312" w:cs="Times New Roman"/>
          <w:color w:val="auto"/>
          <w:spacing w:val="0"/>
          <w:sz w:val="32"/>
          <w:szCs w:val="32"/>
          <w:u w:val="none"/>
          <w:lang w:eastAsia="zh-CN"/>
        </w:rPr>
        <w:t>户籍所在地</w:t>
      </w:r>
      <w:r>
        <w:rPr>
          <w:rFonts w:hint="default" w:ascii="Times New Roman" w:hAnsi="Times New Roman" w:eastAsia="国标仿宋-GB/T 2312" w:cs="Times New Roman"/>
          <w:color w:val="auto"/>
          <w:spacing w:val="0"/>
          <w:sz w:val="32"/>
          <w:szCs w:val="32"/>
          <w:u w:val="none"/>
          <w:lang w:eastAsia="zh-CN"/>
        </w:rPr>
        <w:t>。但是，入伍时是普通高等学校在校学生，退出现役后不复学的，其安置地为入学前的</w:t>
      </w:r>
      <w:r>
        <w:rPr>
          <w:rFonts w:hint="eastAsia" w:ascii="Times New Roman" w:hAnsi="Times New Roman" w:eastAsia="国标仿宋-GB/T 2312" w:cs="Times New Roman"/>
          <w:color w:val="auto"/>
          <w:spacing w:val="0"/>
          <w:sz w:val="32"/>
          <w:szCs w:val="32"/>
          <w:u w:val="none"/>
          <w:lang w:eastAsia="zh-CN"/>
        </w:rPr>
        <w:t>户籍所在地</w:t>
      </w:r>
      <w:r>
        <w:rPr>
          <w:rFonts w:hint="default" w:ascii="Times New Roman" w:hAnsi="Times New Roman" w:eastAsia="国标仿宋-GB/T 2312" w:cs="Times New Roman"/>
          <w:color w:val="auto"/>
          <w:spacing w:val="0"/>
          <w:sz w:val="32"/>
          <w:szCs w:val="32"/>
          <w:u w:val="none"/>
          <w:lang w:eastAsia="zh-CN"/>
        </w:rPr>
        <w:t>。</w:t>
      </w:r>
    </w:p>
    <w:p w14:paraId="207D2CEA">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eastAsia="zh-CN"/>
        </w:rPr>
        <w:t>退役义务兵和以自主就业、安排工作、供养方式安置的退役军士有下列情形之一的，可以易地安置：</w:t>
      </w:r>
    </w:p>
    <w:p w14:paraId="00F1A4A9">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eastAsia="zh-CN"/>
        </w:rPr>
        <w:t>（一）服现役期间父母任何一方</w:t>
      </w:r>
      <w:r>
        <w:rPr>
          <w:rFonts w:hint="eastAsia" w:ascii="Times New Roman" w:hAnsi="Times New Roman" w:eastAsia="国标仿宋-GB/T 2312" w:cs="Times New Roman"/>
          <w:color w:val="auto"/>
          <w:spacing w:val="0"/>
          <w:sz w:val="32"/>
          <w:szCs w:val="32"/>
          <w:u w:val="none"/>
          <w:lang w:eastAsia="zh-CN"/>
        </w:rPr>
        <w:t>户籍所在地</w:t>
      </w:r>
      <w:r>
        <w:rPr>
          <w:rFonts w:hint="default" w:ascii="Times New Roman" w:hAnsi="Times New Roman" w:eastAsia="国标仿宋-GB/T 2312" w:cs="Times New Roman"/>
          <w:color w:val="auto"/>
          <w:spacing w:val="0"/>
          <w:sz w:val="32"/>
          <w:szCs w:val="32"/>
          <w:u w:val="none"/>
          <w:lang w:eastAsia="zh-CN"/>
        </w:rPr>
        <w:t>变更的，可以在父母任何一方现</w:t>
      </w:r>
      <w:r>
        <w:rPr>
          <w:rFonts w:hint="eastAsia" w:ascii="Times New Roman" w:hAnsi="Times New Roman" w:eastAsia="国标仿宋-GB/T 2312" w:cs="Times New Roman"/>
          <w:color w:val="auto"/>
          <w:spacing w:val="0"/>
          <w:sz w:val="32"/>
          <w:szCs w:val="32"/>
          <w:u w:val="none"/>
          <w:lang w:eastAsia="zh-CN"/>
        </w:rPr>
        <w:t>户籍所在地</w:t>
      </w:r>
      <w:r>
        <w:rPr>
          <w:rFonts w:hint="default" w:ascii="Times New Roman" w:hAnsi="Times New Roman" w:eastAsia="国标仿宋-GB/T 2312" w:cs="Times New Roman"/>
          <w:color w:val="auto"/>
          <w:spacing w:val="0"/>
          <w:sz w:val="32"/>
          <w:szCs w:val="32"/>
          <w:u w:val="none"/>
          <w:lang w:eastAsia="zh-CN"/>
        </w:rPr>
        <w:t>安置；</w:t>
      </w:r>
    </w:p>
    <w:p w14:paraId="70E7EB77">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eastAsia="zh-CN"/>
        </w:rPr>
        <w:t>（二）退役军士已婚的，可以在配偶或者配偶父母任何一方</w:t>
      </w:r>
      <w:r>
        <w:rPr>
          <w:rFonts w:hint="eastAsia" w:ascii="Times New Roman" w:hAnsi="Times New Roman" w:eastAsia="国标仿宋-GB/T 2312" w:cs="Times New Roman"/>
          <w:color w:val="auto"/>
          <w:spacing w:val="0"/>
          <w:sz w:val="32"/>
          <w:szCs w:val="32"/>
          <w:u w:val="none"/>
          <w:lang w:eastAsia="zh-CN"/>
        </w:rPr>
        <w:t>户籍所在地</w:t>
      </w:r>
      <w:r>
        <w:rPr>
          <w:rFonts w:hint="default" w:ascii="Times New Roman" w:hAnsi="Times New Roman" w:eastAsia="国标仿宋-GB/T 2312" w:cs="Times New Roman"/>
          <w:color w:val="auto"/>
          <w:spacing w:val="0"/>
          <w:sz w:val="32"/>
          <w:szCs w:val="32"/>
          <w:u w:val="none"/>
          <w:lang w:eastAsia="zh-CN"/>
        </w:rPr>
        <w:t>安置；</w:t>
      </w:r>
    </w:p>
    <w:p w14:paraId="4781CEDC">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eastAsia="zh-CN"/>
        </w:rPr>
        <w:t>（三）退役军士的配偶为现役军人且符合随军规定的，可以在配偶部队驻地安置；双方同时退役的，可以在配偶的安置地安置；</w:t>
      </w:r>
    </w:p>
    <w:p w14:paraId="1BC31DC7">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eastAsia="zh-CN"/>
        </w:rPr>
        <w:t>（四）因其他特殊情况，由军队旅级以上单位政治工作部门出具证明，经省级以上人民政府退役军人工作主管部门批准，可以易地安置。</w:t>
      </w:r>
    </w:p>
    <w:p w14:paraId="69F1BA4C">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eastAsia="zh-CN"/>
        </w:rPr>
        <w:t>退役军士按照前款第二项、第三项规定在国务院确定的中等以上城市安置的，应当结婚满2年。</w:t>
      </w:r>
    </w:p>
    <w:p w14:paraId="64D71B94">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eastAsia="zh-CN"/>
        </w:rPr>
        <w:t>第四十六条</w:t>
      </w:r>
      <w:r>
        <w:rPr>
          <w:rFonts w:hint="default" w:ascii="Times New Roman" w:hAnsi="Times New Roman" w:eastAsia="国标仿宋-GB/T 2312" w:cs="Times New Roman"/>
          <w:color w:val="auto"/>
          <w:spacing w:val="0"/>
          <w:sz w:val="32"/>
          <w:szCs w:val="32"/>
          <w:u w:val="none"/>
          <w:lang w:val="en" w:eastAsia="zh-CN"/>
        </w:rPr>
        <w:t xml:space="preserve"> </w:t>
      </w:r>
      <w:r>
        <w:rPr>
          <w:rFonts w:hint="default" w:ascii="Times New Roman" w:hAnsi="Times New Roman" w:eastAsia="国标仿宋-GB/T 2312" w:cs="Times New Roman"/>
          <w:color w:val="auto"/>
          <w:spacing w:val="0"/>
          <w:sz w:val="32"/>
          <w:szCs w:val="32"/>
          <w:u w:val="none"/>
          <w:lang w:eastAsia="zh-CN"/>
        </w:rPr>
        <w:t>因国家重大改革、重点项目建设以及国防和军队改革需要等情况，退役军人经国务院退役军人工作主管部门批准，可以跨省、自治区、直辖市安置。</w:t>
      </w:r>
    </w:p>
    <w:p w14:paraId="15FADB91">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eastAsia="zh-CN"/>
        </w:rPr>
        <w:t>符合安置地吸引人才特殊政策规定条件的退役军人，由接收安置单位所在省级人民政府退役军人工作主管部门商同级人才工作主管部门同意，经国务院退役军人工作主管部门和中央军事委员会政治工作部门批准，可以跨省、自治区、直辖市安置。</w:t>
      </w:r>
    </w:p>
    <w:p w14:paraId="72AF0F0F">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eastAsia="zh-CN"/>
        </w:rPr>
        <w:t>第四十七条</w:t>
      </w:r>
      <w:r>
        <w:rPr>
          <w:rFonts w:hint="default" w:ascii="Times New Roman" w:hAnsi="Times New Roman" w:eastAsia="国标仿宋-GB/T 2312" w:cs="Times New Roman"/>
          <w:color w:val="auto"/>
          <w:spacing w:val="0"/>
          <w:sz w:val="32"/>
          <w:szCs w:val="32"/>
          <w:u w:val="none"/>
          <w:lang w:val="en" w:eastAsia="zh-CN"/>
        </w:rPr>
        <w:t xml:space="preserve"> </w:t>
      </w:r>
      <w:r>
        <w:rPr>
          <w:rFonts w:hint="default" w:ascii="Times New Roman" w:hAnsi="Times New Roman" w:eastAsia="国标仿宋-GB/T 2312" w:cs="Times New Roman"/>
          <w:color w:val="auto"/>
          <w:spacing w:val="0"/>
          <w:sz w:val="32"/>
          <w:szCs w:val="32"/>
          <w:u w:val="none"/>
          <w:lang w:eastAsia="zh-CN"/>
        </w:rPr>
        <w:t>对因战致残、服现役期间个人荣获三等战功或者二等功以上奖励、是烈士子女的退役军人，以及父母双亡的退役军士和义务兵，可以根据本人申请，由省级以上人民政府退役军人工作主管部门按照有利于其生活的原则确定安置地。</w:t>
      </w:r>
    </w:p>
    <w:p w14:paraId="410B4982">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条件：</w:t>
      </w:r>
      <w:r>
        <w:rPr>
          <w:rFonts w:hint="default" w:ascii="Times New Roman" w:hAnsi="Times New Roman" w:eastAsia="国标仿宋-GB/T 2312" w:cs="Times New Roman"/>
          <w:color w:val="auto"/>
          <w:spacing w:val="0"/>
          <w:sz w:val="32"/>
          <w:szCs w:val="32"/>
          <w:u w:val="none"/>
          <w:lang w:val="en-US" w:eastAsia="zh-CN"/>
        </w:rPr>
        <w:t>退役义务兵和自主就业、安排工作、供养方式安置的退役军士；符合安置地吸引人才特殊政策规定条件的退役军人</w:t>
      </w:r>
      <w:r>
        <w:rPr>
          <w:rFonts w:hint="eastAsia" w:ascii="Times New Roman" w:hAnsi="Times New Roman" w:eastAsia="国标仿宋-GB/T 2312" w:cs="Times New Roman"/>
          <w:color w:val="auto"/>
          <w:spacing w:val="0"/>
          <w:sz w:val="32"/>
          <w:szCs w:val="32"/>
          <w:u w:val="none"/>
          <w:lang w:val="en-US" w:eastAsia="zh-CN"/>
        </w:rPr>
        <w:t>；</w:t>
      </w:r>
      <w:r>
        <w:rPr>
          <w:rFonts w:hint="default" w:ascii="Times New Roman" w:hAnsi="Times New Roman" w:eastAsia="国标仿宋-GB/T 2312" w:cs="Times New Roman"/>
          <w:color w:val="auto"/>
          <w:spacing w:val="0"/>
          <w:sz w:val="32"/>
          <w:szCs w:val="32"/>
          <w:u w:val="none"/>
          <w:lang w:eastAsia="zh-CN"/>
        </w:rPr>
        <w:t>对因战致残、服现役期间个人荣获三等战功或者二等功以上奖励、是烈士子女的退役军人，以及父母双亡的退役军士和义务兵</w:t>
      </w:r>
      <w:r>
        <w:rPr>
          <w:rFonts w:hint="default" w:ascii="Times New Roman" w:hAnsi="Times New Roman" w:eastAsia="国标仿宋-GB/T 2312" w:cs="Times New Roman"/>
          <w:color w:val="auto"/>
          <w:spacing w:val="0"/>
          <w:sz w:val="32"/>
          <w:szCs w:val="32"/>
          <w:u w:val="none"/>
          <w:lang w:val="en-US" w:eastAsia="zh-CN"/>
        </w:rPr>
        <w:t>。</w:t>
      </w:r>
    </w:p>
    <w:p w14:paraId="61EF0142">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2FF2425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1.本人提出易地安置申请；</w:t>
      </w:r>
    </w:p>
    <w:p w14:paraId="1628901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2.省级退役军人工作主管部门审核确认。</w:t>
      </w:r>
    </w:p>
    <w:p w14:paraId="2697A9AC">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办理时限：</w:t>
      </w:r>
      <w:r>
        <w:rPr>
          <w:rFonts w:hint="default" w:ascii="Times New Roman" w:hAnsi="Times New Roman" w:eastAsia="国标仿宋-GB/T 2312" w:cs="Times New Roman"/>
          <w:color w:val="auto"/>
          <w:spacing w:val="0"/>
          <w:sz w:val="32"/>
          <w:szCs w:val="32"/>
          <w:u w:val="none"/>
          <w:lang w:val="en-US" w:eastAsia="zh-CN"/>
        </w:rPr>
        <w:t>省级退役军人工作主管部门应当在20个工作日内完成本级需要办理的事项。</w:t>
      </w:r>
    </w:p>
    <w:p w14:paraId="35309249">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申请材料：</w:t>
      </w:r>
    </w:p>
    <w:p w14:paraId="5594AEA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1.异地安置申请；</w:t>
      </w:r>
    </w:p>
    <w:p w14:paraId="2E38140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方正仿宋简体" w:cs="Times New Roman"/>
          <w:b/>
          <w:bCs/>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2.符合《退役军人安置条例》所提易地安置情形的相关证明材料</w:t>
      </w:r>
      <w:r>
        <w:rPr>
          <w:rFonts w:hint="default" w:ascii="Times New Roman" w:hAnsi="Times New Roman" w:eastAsia="方正仿宋简体" w:cs="Times New Roman"/>
          <w:color w:val="auto"/>
          <w:spacing w:val="0"/>
          <w:sz w:val="32"/>
          <w:szCs w:val="32"/>
          <w:u w:val="none"/>
          <w:lang w:eastAsia="zh-CN"/>
        </w:rPr>
        <w:t>。</w:t>
      </w:r>
    </w:p>
    <w:p w14:paraId="16FF061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Times New Roman" w:hAnsi="Times New Roman" w:eastAsia="方正楷体简体" w:cs="Times New Roman"/>
          <w:b w:val="0"/>
          <w:bCs w:val="0"/>
          <w:color w:val="auto"/>
          <w:spacing w:val="0"/>
          <w:sz w:val="32"/>
          <w:szCs w:val="32"/>
          <w:u w:val="none"/>
          <w:lang w:eastAsia="zh-CN"/>
        </w:rPr>
      </w:pPr>
      <w:r>
        <w:rPr>
          <w:rFonts w:hint="default" w:ascii="Times New Roman" w:hAnsi="Times New Roman" w:eastAsia="方正楷体简体" w:cs="Times New Roman"/>
          <w:b w:val="0"/>
          <w:bCs w:val="0"/>
          <w:color w:val="auto"/>
          <w:spacing w:val="0"/>
          <w:sz w:val="32"/>
          <w:szCs w:val="32"/>
          <w:u w:val="none"/>
          <w:lang w:eastAsia="zh-CN"/>
        </w:rPr>
        <w:t>（五）</w:t>
      </w:r>
      <w:r>
        <w:rPr>
          <w:rFonts w:hint="default" w:ascii="Times New Roman" w:hAnsi="Times New Roman" w:eastAsia="方正楷体简体" w:cs="Times New Roman"/>
          <w:b w:val="0"/>
          <w:bCs w:val="0"/>
          <w:color w:val="auto"/>
          <w:spacing w:val="0"/>
          <w:sz w:val="32"/>
          <w:szCs w:val="32"/>
          <w:u w:val="none"/>
        </w:rPr>
        <w:t>烈士褒扬金</w:t>
      </w:r>
      <w:r>
        <w:rPr>
          <w:rFonts w:hint="default" w:ascii="Times New Roman" w:hAnsi="Times New Roman" w:eastAsia="方正楷体简体" w:cs="Times New Roman"/>
          <w:b w:val="0"/>
          <w:bCs w:val="0"/>
          <w:color w:val="auto"/>
          <w:spacing w:val="0"/>
          <w:sz w:val="32"/>
          <w:szCs w:val="32"/>
          <w:u w:val="none"/>
          <w:lang w:eastAsia="zh-CN"/>
        </w:rPr>
        <w:t>的发放。</w:t>
      </w:r>
    </w:p>
    <w:p w14:paraId="11BC37A5">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行政给付。</w:t>
      </w:r>
    </w:p>
    <w:p w14:paraId="24877B04">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06B69D95">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1.《中华人民共和国军人地位和权益保障法》</w:t>
      </w:r>
      <w:r>
        <w:rPr>
          <w:rFonts w:hint="default" w:ascii="Times New Roman" w:hAnsi="Times New Roman" w:eastAsia="国标仿宋-GB/T 2312" w:cs="Times New Roman"/>
          <w:color w:val="auto"/>
          <w:spacing w:val="0"/>
          <w:sz w:val="32"/>
          <w:szCs w:val="32"/>
          <w:u w:val="none"/>
          <w:lang w:eastAsia="zh-CN"/>
        </w:rPr>
        <w:t>第四十八条 国家实行军人死亡抚恤制度。</w:t>
      </w:r>
    </w:p>
    <w:p w14:paraId="39DCAECE">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i w:val="0"/>
          <w:iCs w:val="0"/>
          <w:caps w:val="0"/>
          <w:color w:val="000000"/>
          <w:spacing w:val="0"/>
          <w:sz w:val="28"/>
          <w:szCs w:val="28"/>
        </w:rPr>
      </w:pPr>
      <w:r>
        <w:rPr>
          <w:rFonts w:hint="default" w:ascii="Times New Roman" w:hAnsi="Times New Roman" w:eastAsia="国标仿宋-GB/T 2312" w:cs="Times New Roman"/>
          <w:color w:val="auto"/>
          <w:spacing w:val="0"/>
          <w:sz w:val="32"/>
          <w:szCs w:val="32"/>
          <w:u w:val="none"/>
          <w:lang w:eastAsia="zh-CN"/>
        </w:rPr>
        <w:t>军人死亡后被评定为烈士的，国家向烈士遗属颁发烈士证书，保障烈士遗属享受规定的烈士褒扬金、抚恤金和其他待遇。</w:t>
      </w:r>
    </w:p>
    <w:p w14:paraId="7BE24D7F">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2.</w:t>
      </w:r>
      <w:r>
        <w:rPr>
          <w:rFonts w:hint="default" w:ascii="Times New Roman" w:hAnsi="Times New Roman" w:eastAsia="国标仿宋-GB/T 2312" w:cs="Times New Roman"/>
          <w:color w:val="auto"/>
          <w:spacing w:val="0"/>
          <w:sz w:val="32"/>
          <w:szCs w:val="32"/>
          <w:u w:val="none"/>
          <w:lang w:eastAsia="zh-CN"/>
        </w:rPr>
        <w:t>《烈士褒扬条例》第十四条 国家建立烈士褒扬金制度。烈士褒扬金标准为烈士牺牲时上一年度全国城镇居民人均可支配收入的30倍。战时，参战牺牲的烈士褒扬金标准可以适当提高。</w:t>
      </w:r>
    </w:p>
    <w:p w14:paraId="3DF257C7">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烈士褒扬金由领取烈士证书持有人户籍所在地县级人民政府退役军人工作主管部门发给烈士的父母（抚养人）、配偶、子女；没有父母（抚养人）、配偶、子女的，发给烈士未满18周岁的兄弟姐妹和已满18周岁但无生活来源且由烈士生前供养的兄弟姐妹。</w:t>
      </w:r>
    </w:p>
    <w:p w14:paraId="104105BF">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3.《军人抚恤优待条例》第十条 烈士遗属享受烈士褒扬金、一次性抚恤金，并可以按照规定享受定期抚恤金、丧葬补助、一次性特别抚恤金等。</w:t>
      </w:r>
    </w:p>
    <w:p w14:paraId="01A24AE4">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第十八条第一款：烈士褒扬金发给烈士的父母（抚养人）、配偶、子女；没有父母（抚养人）、配偶、子女的，发给未满18周岁的兄弟姐妹和已满18周岁但无生活费来源且由该军人生前供养的兄弟姐妹。</w:t>
      </w:r>
    </w:p>
    <w:p w14:paraId="60E9B890">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条件：</w:t>
      </w:r>
    </w:p>
    <w:p w14:paraId="0E9F1077">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1.烈士是在2011年8月1日《烈士褒扬条例》实施后牺牲，且被评定为烈士；</w:t>
      </w:r>
    </w:p>
    <w:p w14:paraId="66EFFCA7">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2.烈士</w:t>
      </w:r>
      <w:r>
        <w:rPr>
          <w:rFonts w:hint="default" w:ascii="Times New Roman" w:hAnsi="Times New Roman" w:eastAsia="国标仿宋-GB/T 2312" w:cs="Times New Roman"/>
          <w:color w:val="auto"/>
          <w:spacing w:val="0"/>
          <w:sz w:val="32"/>
          <w:szCs w:val="32"/>
          <w:u w:val="none"/>
          <w:lang w:eastAsia="zh-CN"/>
        </w:rPr>
        <w:t>健在的父母（抚养人）、配偶、子女；没有父母（抚养人）、配偶、子女的，有未满18周岁的兄弟姐妹和已满18周岁但无生活来源且由烈士生前供养的兄弟姐妹。</w:t>
      </w:r>
    </w:p>
    <w:p w14:paraId="6B21390E">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2CC70B2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1.完成烈士备案后，由中央财政下拨烈士褒扬金有关款项；</w:t>
      </w:r>
    </w:p>
    <w:p w14:paraId="4104AF4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2.将烈士褒扬金下拨至户籍所在地退役军人工作主管部门；</w:t>
      </w:r>
    </w:p>
    <w:p w14:paraId="005148F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3.户籍所在地退役军人工作主管部门发放。</w:t>
      </w:r>
    </w:p>
    <w:p w14:paraId="0C5F57AA">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办理时限：</w:t>
      </w:r>
      <w:r>
        <w:rPr>
          <w:rFonts w:hint="default" w:ascii="Times New Roman" w:hAnsi="Times New Roman" w:eastAsia="国标仿宋-GB/T 2312" w:cs="Times New Roman"/>
          <w:color w:val="auto"/>
          <w:spacing w:val="0"/>
          <w:sz w:val="32"/>
          <w:szCs w:val="32"/>
          <w:u w:val="none"/>
          <w:lang w:eastAsia="zh-CN"/>
        </w:rPr>
        <w:t>自中央下拨烈士褒扬金至户籍所在地退役军人工作主管部门之日起</w:t>
      </w:r>
      <w:r>
        <w:rPr>
          <w:rFonts w:hint="default" w:ascii="Times New Roman" w:hAnsi="Times New Roman" w:eastAsia="国标仿宋-GB/T 2312" w:cs="Times New Roman"/>
          <w:color w:val="auto"/>
          <w:spacing w:val="0"/>
          <w:sz w:val="32"/>
          <w:szCs w:val="32"/>
          <w:u w:val="none"/>
          <w:lang w:val="en-US" w:eastAsia="zh-CN"/>
        </w:rPr>
        <w:t>20个工作日内发放。</w:t>
      </w:r>
    </w:p>
    <w:p w14:paraId="198E8D3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val="0"/>
          <w:bCs w:val="0"/>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申请材料：</w:t>
      </w:r>
      <w:r>
        <w:rPr>
          <w:rFonts w:hint="default" w:ascii="Times New Roman" w:hAnsi="Times New Roman" w:eastAsia="国标仿宋-GB/T 2312" w:cs="Times New Roman"/>
          <w:b w:val="0"/>
          <w:bCs w:val="0"/>
          <w:color w:val="auto"/>
          <w:spacing w:val="0"/>
          <w:sz w:val="32"/>
          <w:szCs w:val="32"/>
          <w:u w:val="none"/>
          <w:lang w:eastAsia="zh-CN"/>
        </w:rPr>
        <w:t>无</w:t>
      </w:r>
    </w:p>
    <w:p w14:paraId="1A60874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楷体-GB/T 2312" w:cs="Times New Roman"/>
          <w:b w:val="0"/>
          <w:bCs w:val="0"/>
          <w:color w:val="auto"/>
          <w:spacing w:val="0"/>
          <w:sz w:val="32"/>
          <w:szCs w:val="32"/>
          <w:u w:val="none"/>
          <w:lang w:eastAsia="zh-CN"/>
        </w:rPr>
      </w:pPr>
      <w:r>
        <w:rPr>
          <w:rFonts w:hint="default" w:ascii="Times New Roman" w:hAnsi="Times New Roman" w:eastAsia="国标楷体-GB/T 2312" w:cs="Times New Roman"/>
          <w:b w:val="0"/>
          <w:bCs w:val="0"/>
          <w:color w:val="auto"/>
          <w:spacing w:val="0"/>
          <w:sz w:val="32"/>
          <w:szCs w:val="32"/>
          <w:u w:val="none"/>
          <w:lang w:eastAsia="zh-CN"/>
        </w:rPr>
        <w:t>（六）烈士遗属、因公牺牲军人遗属、病故军人遗属</w:t>
      </w:r>
      <w:r>
        <w:rPr>
          <w:rFonts w:hint="default" w:ascii="Times New Roman" w:hAnsi="Times New Roman" w:eastAsia="国标楷体-GB/T 2312" w:cs="Times New Roman"/>
          <w:b w:val="0"/>
          <w:bCs w:val="0"/>
          <w:color w:val="auto"/>
          <w:spacing w:val="0"/>
          <w:sz w:val="32"/>
          <w:szCs w:val="32"/>
          <w:u w:val="none"/>
        </w:rPr>
        <w:t>一次性抚恤金</w:t>
      </w:r>
      <w:r>
        <w:rPr>
          <w:rFonts w:hint="default" w:ascii="Times New Roman" w:hAnsi="Times New Roman" w:eastAsia="国标楷体-GB/T 2312" w:cs="Times New Roman"/>
          <w:b w:val="0"/>
          <w:bCs w:val="0"/>
          <w:color w:val="auto"/>
          <w:spacing w:val="0"/>
          <w:sz w:val="32"/>
          <w:szCs w:val="32"/>
          <w:u w:val="none"/>
          <w:lang w:eastAsia="zh-CN"/>
        </w:rPr>
        <w:t>的发放。</w:t>
      </w:r>
    </w:p>
    <w:p w14:paraId="387FE933">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行政给付。</w:t>
      </w:r>
    </w:p>
    <w:p w14:paraId="0FE13BC3">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160AF0F9">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1.《烈士褒扬条例》</w:t>
      </w:r>
      <w:r>
        <w:rPr>
          <w:rFonts w:hint="default" w:ascii="Times New Roman" w:hAnsi="Times New Roman" w:eastAsia="国标仿宋-GB/T 2312" w:cs="Times New Roman"/>
          <w:color w:val="auto"/>
          <w:spacing w:val="0"/>
          <w:sz w:val="32"/>
          <w:szCs w:val="32"/>
          <w:u w:val="none"/>
          <w:lang w:eastAsia="zh-CN"/>
        </w:rPr>
        <w:t>第十六条 烈士遗属除享受本条例第十五条规定的烈士褒扬金外，属于《军人抚恤优待条例》以及相关规定适用范围的，还按照规定享受一次性抚恤金；标准为烈士牺牲时上一年度全国城镇居民人均可支配收入的</w:t>
      </w:r>
      <w:r>
        <w:rPr>
          <w:rFonts w:hint="default" w:ascii="Times New Roman" w:hAnsi="Times New Roman" w:eastAsia="国标仿宋-GB/T 2312" w:cs="Times New Roman"/>
          <w:color w:val="auto"/>
          <w:spacing w:val="0"/>
          <w:sz w:val="32"/>
          <w:szCs w:val="32"/>
          <w:u w:val="none"/>
          <w:lang w:val="en-US" w:eastAsia="zh-CN"/>
        </w:rPr>
        <w:t>20倍家烈士</w:t>
      </w:r>
      <w:r>
        <w:rPr>
          <w:rFonts w:hint="default" w:ascii="Times New Roman" w:hAnsi="Times New Roman" w:eastAsia="国标仿宋-GB/T 2312" w:cs="Times New Roman"/>
          <w:color w:val="auto"/>
          <w:spacing w:val="0"/>
          <w:sz w:val="32"/>
          <w:szCs w:val="32"/>
          <w:u w:val="none"/>
          <w:lang w:eastAsia="zh-CN"/>
        </w:rPr>
        <w:t>本人40个月的基本工资，由县级人民政府退役军人工作主管部门发放；属于《工伤保险条例》以及相关规定适用范围的，还按照规定享受一次性工亡补助金以及相当于烈士本人</w:t>
      </w:r>
      <w:r>
        <w:rPr>
          <w:rFonts w:hint="default" w:ascii="Times New Roman" w:hAnsi="Times New Roman" w:eastAsia="国标仿宋-GB/T 2312" w:cs="Times New Roman"/>
          <w:color w:val="auto"/>
          <w:spacing w:val="0"/>
          <w:sz w:val="32"/>
          <w:szCs w:val="32"/>
          <w:u w:val="none"/>
          <w:lang w:val="en-US" w:eastAsia="zh-CN"/>
        </w:rPr>
        <w:t>40个月基本工资的烈士遗属特别补助金，其中一次性工亡补助金按照《工伤保险条例》规定发放，烈士遗属特别补助金由县级人民政府退役军人工作主管部门发放</w:t>
      </w:r>
      <w:r>
        <w:rPr>
          <w:rFonts w:hint="default" w:ascii="Times New Roman" w:hAnsi="Times New Roman" w:eastAsia="国标仿宋-GB/T 2312" w:cs="Times New Roman"/>
          <w:color w:val="auto"/>
          <w:spacing w:val="0"/>
          <w:sz w:val="32"/>
          <w:szCs w:val="32"/>
          <w:u w:val="none"/>
          <w:lang w:eastAsia="zh-CN"/>
        </w:rPr>
        <w:t>。</w:t>
      </w:r>
    </w:p>
    <w:p w14:paraId="7DF43657">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eastAsia="zh-CN"/>
        </w:rPr>
        <w:t>不属于前款规定范围的烈士遗属，由</w:t>
      </w:r>
      <w:r>
        <w:rPr>
          <w:rFonts w:hint="default" w:ascii="Times New Roman" w:hAnsi="Times New Roman" w:eastAsia="国标仿宋-GB/T 2312" w:cs="Times New Roman"/>
          <w:b w:val="0"/>
          <w:bCs w:val="0"/>
          <w:color w:val="auto"/>
          <w:spacing w:val="0"/>
          <w:sz w:val="32"/>
          <w:szCs w:val="32"/>
          <w:u w:val="none"/>
          <w:lang w:eastAsia="zh-CN"/>
        </w:rPr>
        <w:t>县级人民政府退役军人工作主管部门</w:t>
      </w:r>
      <w:r>
        <w:rPr>
          <w:rFonts w:hint="default" w:ascii="Times New Roman" w:hAnsi="Times New Roman" w:eastAsia="国标仿宋-GB/T 2312" w:cs="Times New Roman"/>
          <w:color w:val="auto"/>
          <w:spacing w:val="0"/>
          <w:sz w:val="32"/>
          <w:szCs w:val="32"/>
          <w:u w:val="none"/>
          <w:lang w:eastAsia="zh-CN"/>
        </w:rPr>
        <w:t>发给一次性抚恤金，标准为烈士牺牲时上一年度全国城镇居民人均可支配收入的20倍加40个月的中国人民解放军少尉军官基本工资。</w:t>
      </w:r>
    </w:p>
    <w:p w14:paraId="6A434D70">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2.《军人抚恤优待条例》第十条第二款：因公牺牲军人遗属、病故军人遗属享受一次性抚恤金，并可以按照规定享受定期抚恤金、丧葬补助、一次性特别抚恤金等。</w:t>
      </w:r>
    </w:p>
    <w:p w14:paraId="3E930882">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第十五条第二款：军人死亡，根据其死亡性质和死亡时的月基本工资标准，由收到《烈士评定通知书》、《军人因公牺牲通知书》、《军人病故通知书》的县级人民政府退役军人工作主管部门，按照以下标准发给其遗属一次性抚恤金：烈士和因公牺牲的，为上一年度全国城镇居民人均可支配收入的20倍加本人40个月的基本工资；病故的，为上一年度全国城镇居民人均可支配收入的2倍加本人40个月的基本工资。月基本工资或者津贴低于少尉军官基本工资标准的，按照少尉军官基本工资标准计算。被追授军衔的，按照所追授的军衔等级以及相应待遇级别确定月基本工资标准。</w:t>
      </w:r>
    </w:p>
    <w:p w14:paraId="18618ADA">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第十六条 服现役期间获得功勋荣誉表彰的军人被评定为烈士、确认为因公牺牲或者病故的，其遗属在应当享受的一次性抚恤金的基础上，由县级人民政府退役军人工作主管部门按照下列比例增发一次性抚恤金：</w:t>
      </w:r>
    </w:p>
    <w:p w14:paraId="50A57261">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（一）获得勋章或者国家荣誉称号的，增发40%；</w:t>
      </w:r>
    </w:p>
    <w:p w14:paraId="2FB03576">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（二）获得党中央、国务院、中央军事委员会单独或者联合授予荣誉称号的，增发35%；</w:t>
      </w:r>
    </w:p>
    <w:p w14:paraId="79722E39">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（三）立一等战功、获得一级表彰或者获得中央军事委员会授权的单位授予荣誉称号的，增发30%；</w:t>
      </w:r>
    </w:p>
    <w:p w14:paraId="68F6B123">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（四）立二等战功、一等功或者获得二级表彰并经批准的，增发25%；</w:t>
      </w:r>
    </w:p>
    <w:p w14:paraId="0D40C0FD">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（五）立三等战功或者二等功的，增发15%；</w:t>
      </w:r>
    </w:p>
    <w:p w14:paraId="533DFEB9">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（六）立四等战功或者三等功的，增发5%。</w:t>
      </w:r>
    </w:p>
    <w:p w14:paraId="37C80CEA">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军人死亡后被追授功勋荣誉表彰的，比照前款规定增发一次性抚恤金。</w:t>
      </w:r>
    </w:p>
    <w:p w14:paraId="05415426">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服现役期间多次获得功勋荣誉表彰的烈士、因公牺牲军人、病故军人，其遗属由县级人民政府退役军人工作主管部门按照其中最高的增发比例，增发一次性抚恤金。</w:t>
      </w:r>
    </w:p>
    <w:p w14:paraId="0585649B">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第十八条第二款：一次性抚恤金发给烈士遗属、因公牺牲军人遗属、病故军人遗属，遗属的范围按照前款规定确定。</w:t>
      </w:r>
    </w:p>
    <w:p w14:paraId="53230BA8">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西藏自治区人民政府办公厅转发自治区民政厅等部门关于调整国家机关工作人员及离退休人员牺牲病故后一次性抚恤金发放办法的通知》：一次性抚恤金发放标准。自2004年10月1日起，国家机关工作人员及离退休人员死亡，一次性抚恤金按照以下标准执行：（1）革命烈士，为本人生前80个月工资或离退休费；（2）因公牺牲，为本人生前40个月工资或离退休费；（3）病故（包括其他非因公原因死亡），生前20个月工资或离退休费。</w:t>
      </w:r>
    </w:p>
    <w:p w14:paraId="48CD8C78">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条件：</w:t>
      </w:r>
    </w:p>
    <w:p w14:paraId="20D5EA2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1.牺牲后被依法追认为烈士的；现役军人经军队有权政治机关确认因公牺牲、病故的。</w:t>
      </w:r>
    </w:p>
    <w:p w14:paraId="01610B5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烈士遗属、因公牺牲军人遗属、病故军人遗属中的父母（抚养人）、配偶无劳动能力、无生活来源，或者收入水平低于当地居民的平均生活水平的；子女未满18周岁或者已满18周岁但因上学或者残疾无生活费来源的；兄弟姐妹未满18周岁或者已满18周岁但因上学无生活费来源且由烈士或者因公牺牲、病故军人生前供养的。</w:t>
      </w:r>
    </w:p>
    <w:p w14:paraId="2568EF37">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6110972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1.烈士遗属、因公牺牲、病故军人遗属向其</w:t>
      </w:r>
      <w:r>
        <w:rPr>
          <w:rFonts w:hint="eastAsia" w:ascii="Times New Roman" w:hAnsi="Times New Roman" w:eastAsia="国标仿宋-GB/T 2312" w:cs="Times New Roman"/>
          <w:color w:val="auto"/>
          <w:spacing w:val="0"/>
          <w:sz w:val="32"/>
          <w:szCs w:val="32"/>
          <w:u w:val="none"/>
          <w:lang w:val="en-US" w:eastAsia="zh-CN"/>
        </w:rPr>
        <w:t>户籍所在地</w:t>
      </w:r>
      <w:r>
        <w:rPr>
          <w:rFonts w:hint="default" w:ascii="Times New Roman" w:hAnsi="Times New Roman" w:eastAsia="国标仿宋-GB/T 2312" w:cs="Times New Roman"/>
          <w:color w:val="auto"/>
          <w:spacing w:val="0"/>
          <w:sz w:val="32"/>
          <w:szCs w:val="32"/>
          <w:u w:val="none"/>
          <w:lang w:val="en-US" w:eastAsia="zh-CN"/>
        </w:rPr>
        <w:t>县级人民政府退役军人工作主管部门提出申请；</w:t>
      </w:r>
    </w:p>
    <w:p w14:paraId="65BF388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2.县级退役军人工作主管部门审核；</w:t>
      </w:r>
    </w:p>
    <w:p w14:paraId="33D4642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3.县级财政部门审核、拨付资金；</w:t>
      </w:r>
    </w:p>
    <w:p w14:paraId="0F4FFDA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4.代发金融机构将资金发放到烈士遗属、因公牺牲、病故军人遗属个人指定账户。</w:t>
      </w:r>
    </w:p>
    <w:p w14:paraId="122A0AB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lang w:val="en-US" w:eastAsia="zh-CN"/>
        </w:rPr>
        <w:t>办理时限</w:t>
      </w:r>
      <w:r>
        <w:rPr>
          <w:rFonts w:hint="default" w:ascii="Times New Roman" w:hAnsi="Times New Roman" w:eastAsia="国标仿宋-GB/T 2312" w:cs="Times New Roman"/>
          <w:b/>
          <w:bCs/>
          <w:color w:val="auto"/>
          <w:spacing w:val="0"/>
          <w:sz w:val="32"/>
          <w:szCs w:val="32"/>
          <w:u w:val="none"/>
        </w:rPr>
        <w:t>：</w:t>
      </w:r>
      <w:r>
        <w:rPr>
          <w:rFonts w:hint="eastAsia" w:ascii="Times New Roman" w:hAnsi="Times New Roman" w:eastAsia="国标仿宋-GB/T 2312" w:cs="Times New Roman"/>
          <w:color w:val="auto"/>
          <w:spacing w:val="0"/>
          <w:kern w:val="2"/>
          <w:sz w:val="32"/>
          <w:szCs w:val="32"/>
          <w:u w:val="none"/>
          <w:lang w:val="en-US" w:eastAsia="zh-CN" w:bidi="ar-SA"/>
        </w:rPr>
        <w:t>财政部门审核拨付资金后</w:t>
      </w:r>
      <w:r>
        <w:rPr>
          <w:rFonts w:hint="default" w:ascii="Times New Roman" w:hAnsi="Times New Roman" w:eastAsia="国标仿宋-GB/T 2312" w:cs="Times New Roman"/>
          <w:color w:val="auto"/>
          <w:spacing w:val="0"/>
          <w:kern w:val="2"/>
          <w:sz w:val="32"/>
          <w:szCs w:val="32"/>
          <w:u w:val="none"/>
          <w:lang w:val="en-US" w:eastAsia="zh-CN" w:bidi="ar-SA"/>
        </w:rPr>
        <w:t>60个工作日内发放。</w:t>
      </w:r>
    </w:p>
    <w:p w14:paraId="39BEBD9F">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申请材料：</w:t>
      </w:r>
    </w:p>
    <w:p w14:paraId="3A961FE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1.申请书；</w:t>
      </w:r>
    </w:p>
    <w:p w14:paraId="7D9481C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2.烈士证书、因公牺牲、病故军人证明书；</w:t>
      </w:r>
    </w:p>
    <w:p w14:paraId="2B08F6D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3.申请人与烈士、因公牺牲、病故军人关系证明；</w:t>
      </w:r>
    </w:p>
    <w:p w14:paraId="5027C1AA">
      <w:pPr>
        <w:pStyle w:val="17"/>
        <w:keepNext w:val="0"/>
        <w:keepLines w:val="0"/>
        <w:pageBreakBefore w:val="0"/>
        <w:kinsoku/>
        <w:wordWrap/>
        <w:overflowPunct/>
        <w:topLinePunct w:val="0"/>
        <w:autoSpaceDE/>
        <w:autoSpaceDN/>
        <w:bidi w:val="0"/>
        <w:adjustRightInd w:val="0"/>
        <w:snapToGrid w:val="0"/>
        <w:spacing w:line="576" w:lineRule="exact"/>
        <w:textAlignment w:val="auto"/>
        <w:rPr>
          <w:rFonts w:hint="default" w:ascii="Times New Roman" w:hAnsi="Times New Roman" w:eastAsia="国标仿宋-GB/T 2312" w:cs="Times New Roman"/>
          <w:spacing w:val="0"/>
          <w:lang w:val="en-US" w:eastAsia="zh-CN"/>
        </w:rPr>
      </w:pPr>
      <w:r>
        <w:rPr>
          <w:rFonts w:hint="default" w:ascii="Times New Roman" w:hAnsi="Times New Roman" w:eastAsia="国标仿宋-GB/T 2312" w:cs="Times New Roman"/>
          <w:color w:val="auto"/>
          <w:spacing w:val="0"/>
          <w:sz w:val="32"/>
          <w:szCs w:val="32"/>
          <w:u w:val="none"/>
          <w:lang w:val="en-US" w:eastAsia="zh-CN"/>
        </w:rPr>
        <w:t>4.多个有权申请人之间签订的分配协议书；</w:t>
      </w:r>
    </w:p>
    <w:p w14:paraId="36FF9B5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5.经申请人确认的银行卡、存折账户等合法银行账户信息。</w:t>
      </w:r>
    </w:p>
    <w:p w14:paraId="48D5D5CC">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楷体-GB/T 2312" w:cs="Times New Roman"/>
          <w:b w:val="0"/>
          <w:bCs w:val="0"/>
          <w:color w:val="auto"/>
          <w:spacing w:val="0"/>
          <w:sz w:val="32"/>
          <w:szCs w:val="32"/>
          <w:u w:val="none"/>
          <w:lang w:eastAsia="zh-CN"/>
        </w:rPr>
      </w:pPr>
      <w:r>
        <w:rPr>
          <w:rFonts w:hint="default" w:ascii="Times New Roman" w:hAnsi="Times New Roman" w:eastAsia="国标楷体-GB/T 2312" w:cs="Times New Roman"/>
          <w:b w:val="0"/>
          <w:bCs w:val="0"/>
          <w:color w:val="auto"/>
          <w:spacing w:val="0"/>
          <w:sz w:val="32"/>
          <w:szCs w:val="32"/>
          <w:u w:val="none"/>
        </w:rPr>
        <w:t>（</w:t>
      </w:r>
      <w:r>
        <w:rPr>
          <w:rFonts w:hint="default" w:ascii="Times New Roman" w:hAnsi="Times New Roman" w:eastAsia="国标楷体-GB/T 2312" w:cs="Times New Roman"/>
          <w:b w:val="0"/>
          <w:bCs w:val="0"/>
          <w:color w:val="auto"/>
          <w:spacing w:val="0"/>
          <w:sz w:val="32"/>
          <w:szCs w:val="32"/>
          <w:u w:val="none"/>
          <w:lang w:eastAsia="zh-CN"/>
        </w:rPr>
        <w:t>七</w:t>
      </w:r>
      <w:r>
        <w:rPr>
          <w:rFonts w:hint="default" w:ascii="Times New Roman" w:hAnsi="Times New Roman" w:eastAsia="国标楷体-GB/T 2312" w:cs="Times New Roman"/>
          <w:b w:val="0"/>
          <w:bCs w:val="0"/>
          <w:color w:val="auto"/>
          <w:spacing w:val="0"/>
          <w:sz w:val="32"/>
          <w:szCs w:val="32"/>
          <w:u w:val="none"/>
        </w:rPr>
        <w:t>）烈士遗属</w:t>
      </w:r>
      <w:r>
        <w:rPr>
          <w:rFonts w:hint="default" w:ascii="Times New Roman" w:hAnsi="Times New Roman" w:eastAsia="国标楷体-GB/T 2312" w:cs="Times New Roman"/>
          <w:b w:val="0"/>
          <w:bCs w:val="0"/>
          <w:color w:val="auto"/>
          <w:spacing w:val="0"/>
          <w:sz w:val="32"/>
          <w:szCs w:val="32"/>
          <w:u w:val="none"/>
          <w:lang w:eastAsia="zh-CN"/>
        </w:rPr>
        <w:t>、因公牺牲军人遗属、病故军人遗属</w:t>
      </w:r>
      <w:r>
        <w:rPr>
          <w:rFonts w:hint="default" w:ascii="Times New Roman" w:hAnsi="Times New Roman" w:eastAsia="国标楷体-GB/T 2312" w:cs="Times New Roman"/>
          <w:b w:val="0"/>
          <w:bCs w:val="0"/>
          <w:color w:val="auto"/>
          <w:spacing w:val="0"/>
          <w:sz w:val="32"/>
          <w:szCs w:val="32"/>
          <w:u w:val="none"/>
        </w:rPr>
        <w:t>定期抚恤金</w:t>
      </w:r>
      <w:r>
        <w:rPr>
          <w:rFonts w:hint="default" w:ascii="Times New Roman" w:hAnsi="Times New Roman" w:eastAsia="国标楷体-GB/T 2312" w:cs="Times New Roman"/>
          <w:b w:val="0"/>
          <w:bCs w:val="0"/>
          <w:color w:val="auto"/>
          <w:spacing w:val="0"/>
          <w:sz w:val="32"/>
          <w:szCs w:val="32"/>
          <w:u w:val="none"/>
          <w:lang w:eastAsia="zh-CN"/>
        </w:rPr>
        <w:t>的发放。</w:t>
      </w:r>
    </w:p>
    <w:p w14:paraId="2418ED93">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行政给付。</w:t>
      </w:r>
    </w:p>
    <w:p w14:paraId="016688EC">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46A291E9">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1.《烈士褒扬条例》第十七条 符合下列条件之一的烈士遗属，还可享受定期抚恤金：</w:t>
      </w:r>
    </w:p>
    <w:p w14:paraId="32966E97">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（一）烈士的父母（抚养人）、配偶无劳动能力、无生活费来源，或者收入水平低于当地居民平均生活水平的；</w:t>
      </w:r>
    </w:p>
    <w:p w14:paraId="1922C505">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（二）烈士的子女未满18周岁，或者已满18周岁但因残疾或者正在上学而无生活费来源的；</w:t>
      </w:r>
    </w:p>
    <w:p w14:paraId="2F298FB3">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（三）由烈士生前供养的兄弟姐妹未满18周岁，或者已满18周岁但因正在上学而无生活费来源的。</w:t>
      </w:r>
    </w:p>
    <w:p w14:paraId="2C73262C">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符合前款规定条件享受定期抚恤金的烈士遗属，由其户籍所在地县级人民政府退役军人工作主管部门依据其申请，在审核确认其符合条件当月起发给定期抚恤金。</w:t>
      </w:r>
    </w:p>
    <w:p w14:paraId="6E859985">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第二十条 烈士生前的配偶再婚后继续赡养烈士父母（抚养人），继续抚养烈士未满18周岁或者已满18周岁但无劳动能力、无生活费来源且由烈士生前供养的兄弟姐妹的，由其户籍所在地县级人民政府退役军人工作主管部门依据其申请，参照烈士遗属定期抚恤金的标准给予定期补助。</w:t>
      </w:r>
    </w:p>
    <w:p w14:paraId="607F553B">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2.《军人抚恤优待条例》第十九条 对符合下列条件的烈士遗属、因公牺牲军人遗属、病故军人遗属，由其户籍所在地县级人民政府退役军人工作主管部门依据其申请，在审核确认其符合条件当月起发给定期抚恤金：</w:t>
      </w:r>
    </w:p>
    <w:p w14:paraId="07B0133A">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（一）父母（抚养人）、配偶无劳动能力、无生活费来源，或者收入水平低于当地居民平均生活水平的；</w:t>
      </w:r>
    </w:p>
    <w:p w14:paraId="1F996D18">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（二）子女未满18周岁或者已满18周岁但因上学或者残疾无生活费来源的；</w:t>
      </w:r>
    </w:p>
    <w:p w14:paraId="0FD725D2">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（三）兄弟姐妹未满18周岁或者已满18周岁但因上学无生活费来源且由该军人生前供养的。</w:t>
      </w:r>
    </w:p>
    <w:p w14:paraId="674F1143">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定期抚恤金标准应当参照上一年度全国居民人均可支配收入水平确定，具体标准及其调整办法，由国务院退役军人工作主管部门会同国务院财政部门规定。</w:t>
      </w:r>
    </w:p>
    <w:p w14:paraId="36C3EC25">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第二十条 烈士、因公牺牲军人、病故军人生前的配偶再婚后继续赡养烈士、因公牺牲军人、病故军人父母（抚养人），继续抚养烈士、因公牺牲军人、病故军人生前供养的未满18周岁或者已满18周岁但无劳动能力且无生活费来源的兄弟姐妹的，由其户籍所在地县级人民政府退役军人工作主管部门继续发放定期抚恤金。</w:t>
      </w:r>
    </w:p>
    <w:p w14:paraId="08968583">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lang w:eastAsia="zh-CN"/>
        </w:rPr>
        <w:t>申请</w:t>
      </w:r>
      <w:r>
        <w:rPr>
          <w:rFonts w:hint="default" w:ascii="Times New Roman" w:hAnsi="Times New Roman" w:eastAsia="国标仿宋-GB/T 2312" w:cs="Times New Roman"/>
          <w:b/>
          <w:bCs/>
          <w:color w:val="auto"/>
          <w:spacing w:val="0"/>
          <w:sz w:val="32"/>
          <w:szCs w:val="32"/>
          <w:u w:val="none"/>
        </w:rPr>
        <w:t>条件：</w:t>
      </w:r>
    </w:p>
    <w:p w14:paraId="48EF24E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1.烈士在牺牲后被依法评定为烈士；现役军人经军队有权政治机关确认因公牺牲、病故。</w:t>
      </w:r>
    </w:p>
    <w:p w14:paraId="00742EC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烈士遗属、因公牺牲军人遗属、病故军人遗属中的父母、配偶无劳动能力、无生活来源，或者收入水平低于当地居民的平均生活水平的；子女未满18周岁或者已满18周岁但因上学或者残疾无生活费来源的；兄弟姐妹未满18周岁或者已满18周岁但因上学无生活费来源且由烈士或者因公牺牲、病故军人生前供养的。</w:t>
      </w:r>
    </w:p>
    <w:p w14:paraId="408C6340">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lang w:eastAsia="zh-CN"/>
        </w:rPr>
        <w:t>申请</w:t>
      </w:r>
      <w:r>
        <w:rPr>
          <w:rFonts w:hint="default" w:ascii="Times New Roman" w:hAnsi="Times New Roman" w:eastAsia="国标仿宋-GB/T 2312" w:cs="Times New Roman"/>
          <w:b/>
          <w:bCs/>
          <w:color w:val="auto"/>
          <w:spacing w:val="0"/>
          <w:sz w:val="32"/>
          <w:szCs w:val="32"/>
          <w:u w:val="none"/>
        </w:rPr>
        <w:t>程序：</w:t>
      </w:r>
    </w:p>
    <w:p w14:paraId="6550331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1.烈士遗属、因公牺牲、病故军人遗属向其</w:t>
      </w:r>
      <w:r>
        <w:rPr>
          <w:rFonts w:hint="eastAsia" w:ascii="Times New Roman" w:hAnsi="Times New Roman" w:eastAsia="国标仿宋-GB/T 2312" w:cs="Times New Roman"/>
          <w:color w:val="auto"/>
          <w:spacing w:val="0"/>
          <w:sz w:val="32"/>
          <w:szCs w:val="32"/>
          <w:u w:val="none"/>
          <w:lang w:val="en-US" w:eastAsia="zh-CN"/>
        </w:rPr>
        <w:t>户籍所在地</w:t>
      </w:r>
      <w:r>
        <w:rPr>
          <w:rFonts w:hint="default" w:ascii="Times New Roman" w:hAnsi="Times New Roman" w:eastAsia="国标仿宋-GB/T 2312" w:cs="Times New Roman"/>
          <w:color w:val="auto"/>
          <w:spacing w:val="0"/>
          <w:sz w:val="32"/>
          <w:szCs w:val="32"/>
          <w:u w:val="none"/>
          <w:lang w:val="en-US" w:eastAsia="zh-CN"/>
        </w:rPr>
        <w:t>县级人民政府退役军人工作主管部门提出申请；</w:t>
      </w:r>
    </w:p>
    <w:p w14:paraId="413A1E5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2.县级退役军人工作主管部门审核；</w:t>
      </w:r>
    </w:p>
    <w:p w14:paraId="691B89B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3.县级财政部门审核、拨付资金；</w:t>
      </w:r>
    </w:p>
    <w:p w14:paraId="4F51E57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4.代发金融机构将资金发放到烈士遗属、因公牺牲、病故军人遗属个人指定账户。</w:t>
      </w:r>
    </w:p>
    <w:p w14:paraId="2482D71A">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rPr>
        <w:t>办理时限：</w:t>
      </w:r>
      <w:r>
        <w:rPr>
          <w:rFonts w:hint="default" w:ascii="Times New Roman" w:hAnsi="Times New Roman" w:eastAsia="国标仿宋-GB/T 2312" w:cs="Times New Roman"/>
          <w:color w:val="auto"/>
          <w:spacing w:val="0"/>
          <w:sz w:val="32"/>
          <w:szCs w:val="32"/>
          <w:u w:val="none"/>
          <w:lang w:eastAsia="zh-CN"/>
        </w:rPr>
        <w:t>自审核确认烈士遗属、因公牺牲军人遗属、病故军人遗属符合享受定期抚恤金条件之日起开始计发，按月发放。</w:t>
      </w:r>
    </w:p>
    <w:p w14:paraId="5FD737AA">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申请材料：</w:t>
      </w:r>
    </w:p>
    <w:p w14:paraId="10E01EF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1.申请书；</w:t>
      </w:r>
    </w:p>
    <w:p w14:paraId="7485238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2.烈士证书、因公牺牲、病故军人证明书；</w:t>
      </w:r>
    </w:p>
    <w:p w14:paraId="64D2FBC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3.申请人与烈士、因公牺牲、病故军人关系证明；</w:t>
      </w:r>
    </w:p>
    <w:p w14:paraId="1897D19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4.经申请人确认的银行卡、存折账户等合法银行账户信息。</w:t>
      </w:r>
    </w:p>
    <w:p w14:paraId="4A2BC3E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国标楷体-GB/T 2312" w:hAnsi="国标楷体-GB/T 2312" w:eastAsia="国标楷体-GB/T 2312" w:cs="国标楷体-GB/T 2312"/>
          <w:b w:val="0"/>
          <w:bCs w:val="0"/>
          <w:color w:val="auto"/>
          <w:spacing w:val="0"/>
          <w:sz w:val="32"/>
          <w:szCs w:val="32"/>
          <w:u w:val="none"/>
          <w:lang w:val="en-US" w:eastAsia="zh-CN"/>
        </w:rPr>
      </w:pPr>
      <w:r>
        <w:rPr>
          <w:rFonts w:hint="eastAsia" w:ascii="国标楷体-GB/T 2312" w:hAnsi="国标楷体-GB/T 2312" w:eastAsia="国标楷体-GB/T 2312" w:cs="国标楷体-GB/T 2312"/>
          <w:b w:val="0"/>
          <w:bCs w:val="0"/>
          <w:color w:val="auto"/>
          <w:spacing w:val="0"/>
          <w:sz w:val="32"/>
          <w:szCs w:val="32"/>
          <w:u w:val="none"/>
          <w:lang w:eastAsia="zh-CN"/>
        </w:rPr>
        <w:t>（八）</w:t>
      </w:r>
      <w:r>
        <w:rPr>
          <w:rFonts w:hint="eastAsia" w:ascii="国标楷体-GB/T 2312" w:hAnsi="国标楷体-GB/T 2312" w:eastAsia="国标楷体-GB/T 2312" w:cs="国标楷体-GB/T 2312"/>
          <w:b w:val="0"/>
          <w:bCs w:val="0"/>
          <w:color w:val="auto"/>
          <w:spacing w:val="0"/>
          <w:sz w:val="32"/>
          <w:szCs w:val="32"/>
          <w:u w:val="none"/>
          <w:lang w:val="en-US" w:eastAsia="zh-CN"/>
        </w:rPr>
        <w:t>退出现役分散安置的残疾军人护理费的发放。</w:t>
      </w:r>
    </w:p>
    <w:p w14:paraId="2A831B5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default" w:ascii="Times New Roman" w:hAnsi="Times New Roman" w:eastAsia="国标仿宋-GB/T 2312" w:cs="Times New Roman"/>
          <w:b/>
          <w:bCs/>
          <w:color w:val="auto"/>
          <w:spacing w:val="0"/>
          <w:sz w:val="32"/>
          <w:szCs w:val="32"/>
          <w:u w:val="none"/>
          <w:lang w:val="en" w:eastAsia="zh-CN"/>
        </w:rPr>
      </w:pPr>
      <w:r>
        <w:rPr>
          <w:rFonts w:hint="default" w:ascii="Times New Roman" w:hAnsi="Times New Roman" w:eastAsia="国标仿宋-GB/T 2312" w:cs="Times New Roman"/>
          <w:b/>
          <w:bCs/>
          <w:color w:val="auto"/>
          <w:spacing w:val="0"/>
          <w:sz w:val="32"/>
          <w:szCs w:val="32"/>
          <w:u w:val="none"/>
          <w:lang w:val="en-US" w:eastAsia="zh-CN"/>
        </w:rPr>
        <w:t>行为类型：</w:t>
      </w:r>
      <w:r>
        <w:rPr>
          <w:rFonts w:hint="default" w:ascii="Times New Roman" w:hAnsi="Times New Roman" w:eastAsia="国标仿宋-GB/T 2312" w:cs="Times New Roman"/>
          <w:b w:val="0"/>
          <w:bCs w:val="0"/>
          <w:color w:val="auto"/>
          <w:spacing w:val="0"/>
          <w:sz w:val="32"/>
          <w:szCs w:val="32"/>
          <w:u w:val="none"/>
          <w:lang w:val="en-US" w:eastAsia="zh-CN"/>
        </w:rPr>
        <w:t>行政给付。</w:t>
      </w:r>
    </w:p>
    <w:p w14:paraId="1D4A402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val="0"/>
          <w:bCs w:val="0"/>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lang w:val="en-US" w:eastAsia="zh-CN"/>
        </w:rPr>
        <w:t>法定依据：</w:t>
      </w:r>
      <w:r>
        <w:rPr>
          <w:rFonts w:hint="default" w:ascii="Times New Roman" w:hAnsi="Times New Roman" w:eastAsia="国标仿宋-GB/T 2312" w:cs="Times New Roman"/>
          <w:b w:val="0"/>
          <w:bCs w:val="0"/>
          <w:color w:val="auto"/>
          <w:spacing w:val="0"/>
          <w:sz w:val="32"/>
          <w:szCs w:val="32"/>
          <w:u w:val="none"/>
          <w:lang w:val="en-US" w:eastAsia="zh-CN"/>
        </w:rPr>
        <w:t>《军人抚恤优待条例》第二十四条 残疾军人享受残疾抚恤金，并可以按照规定享受供养待遇、护理费等。</w:t>
      </w:r>
    </w:p>
    <w:p w14:paraId="16963C4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b w:val="0"/>
          <w:bCs w:val="0"/>
          <w:color w:val="auto"/>
          <w:spacing w:val="0"/>
          <w:sz w:val="32"/>
          <w:szCs w:val="32"/>
          <w:u w:val="none"/>
          <w:lang w:val="en-US" w:eastAsia="zh-CN"/>
        </w:rPr>
      </w:pPr>
      <w:r>
        <w:rPr>
          <w:rFonts w:hint="default" w:ascii="Times New Roman" w:hAnsi="Times New Roman" w:eastAsia="国标仿宋-GB/T 2312" w:cs="Times New Roman"/>
          <w:b w:val="0"/>
          <w:bCs w:val="0"/>
          <w:color w:val="auto"/>
          <w:spacing w:val="0"/>
          <w:sz w:val="32"/>
          <w:szCs w:val="32"/>
          <w:u w:val="none"/>
          <w:lang w:val="en-US" w:eastAsia="zh-CN"/>
        </w:rPr>
        <w:t>第三十四条 对退出现役时分散供养的一级至四级、退出现役后补办或者调整为一级至四级、服现役期间因患精神障碍评定为五级至六级的残疾军人发给护理费，护理费的标准为：</w:t>
      </w:r>
    </w:p>
    <w:p w14:paraId="0D03B1E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b w:val="0"/>
          <w:bCs w:val="0"/>
          <w:color w:val="auto"/>
          <w:spacing w:val="0"/>
          <w:sz w:val="32"/>
          <w:szCs w:val="32"/>
          <w:u w:val="none"/>
          <w:lang w:val="en-US" w:eastAsia="zh-CN"/>
        </w:rPr>
      </w:pPr>
      <w:r>
        <w:rPr>
          <w:rFonts w:hint="default" w:ascii="Times New Roman" w:hAnsi="Times New Roman" w:eastAsia="国标仿宋-GB/T 2312" w:cs="Times New Roman"/>
          <w:b w:val="0"/>
          <w:bCs w:val="0"/>
          <w:color w:val="auto"/>
          <w:spacing w:val="0"/>
          <w:sz w:val="32"/>
          <w:szCs w:val="32"/>
          <w:u w:val="none"/>
          <w:lang w:val="en-US" w:eastAsia="zh-CN"/>
        </w:rPr>
        <w:t>（一）因战、因公一级和二级残疾的，为当地上一年度城镇单位就业人员月平均工资的50%；</w:t>
      </w:r>
    </w:p>
    <w:p w14:paraId="2C8D98C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b w:val="0"/>
          <w:bCs w:val="0"/>
          <w:color w:val="auto"/>
          <w:spacing w:val="0"/>
          <w:sz w:val="32"/>
          <w:szCs w:val="32"/>
          <w:u w:val="none"/>
          <w:lang w:val="en-US" w:eastAsia="zh-CN"/>
        </w:rPr>
      </w:pPr>
      <w:r>
        <w:rPr>
          <w:rFonts w:hint="default" w:ascii="Times New Roman" w:hAnsi="Times New Roman" w:eastAsia="国标仿宋-GB/T 2312" w:cs="Times New Roman"/>
          <w:b w:val="0"/>
          <w:bCs w:val="0"/>
          <w:color w:val="auto"/>
          <w:spacing w:val="0"/>
          <w:sz w:val="32"/>
          <w:szCs w:val="32"/>
          <w:u w:val="none"/>
          <w:lang w:val="en-US" w:eastAsia="zh-CN"/>
        </w:rPr>
        <w:t>（二）因战、因公三级和四级残疾的，为当地上一年度城镇单位就业人员月平均工资的40%；</w:t>
      </w:r>
    </w:p>
    <w:p w14:paraId="0B10A07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b w:val="0"/>
          <w:bCs w:val="0"/>
          <w:color w:val="auto"/>
          <w:spacing w:val="0"/>
          <w:sz w:val="32"/>
          <w:szCs w:val="32"/>
          <w:u w:val="none"/>
          <w:lang w:val="en-US" w:eastAsia="zh-CN"/>
        </w:rPr>
      </w:pPr>
      <w:r>
        <w:rPr>
          <w:rFonts w:hint="default" w:ascii="Times New Roman" w:hAnsi="Times New Roman" w:eastAsia="国标仿宋-GB/T 2312" w:cs="Times New Roman"/>
          <w:b w:val="0"/>
          <w:bCs w:val="0"/>
          <w:color w:val="auto"/>
          <w:spacing w:val="0"/>
          <w:sz w:val="32"/>
          <w:szCs w:val="32"/>
          <w:u w:val="none"/>
          <w:lang w:val="en-US" w:eastAsia="zh-CN"/>
        </w:rPr>
        <w:t>（三）因病一级至四级残疾的，为当地上一年度城镇单位就业人员月平均工资的30%；</w:t>
      </w:r>
    </w:p>
    <w:p w14:paraId="09CB09E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b w:val="0"/>
          <w:bCs w:val="0"/>
          <w:color w:val="auto"/>
          <w:spacing w:val="0"/>
          <w:sz w:val="32"/>
          <w:szCs w:val="32"/>
          <w:u w:val="none"/>
          <w:lang w:val="en-US" w:eastAsia="zh-CN"/>
        </w:rPr>
      </w:pPr>
      <w:r>
        <w:rPr>
          <w:rFonts w:hint="default" w:ascii="Times New Roman" w:hAnsi="Times New Roman" w:eastAsia="国标仿宋-GB/T 2312" w:cs="Times New Roman"/>
          <w:b w:val="0"/>
          <w:bCs w:val="0"/>
          <w:color w:val="auto"/>
          <w:spacing w:val="0"/>
          <w:sz w:val="32"/>
          <w:szCs w:val="32"/>
          <w:u w:val="none"/>
          <w:lang w:val="en-US" w:eastAsia="zh-CN"/>
        </w:rPr>
        <w:t>（四）因精神障碍五级至六级残疾的，为当地上一年度城镇单位就业人员月平均工资的25%。</w:t>
      </w:r>
    </w:p>
    <w:p w14:paraId="3F8BB91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b w:val="0"/>
          <w:bCs w:val="0"/>
          <w:color w:val="auto"/>
          <w:spacing w:val="0"/>
          <w:sz w:val="32"/>
          <w:szCs w:val="32"/>
          <w:u w:val="none"/>
          <w:lang w:val="en-US" w:eastAsia="zh-CN"/>
        </w:rPr>
      </w:pPr>
      <w:r>
        <w:rPr>
          <w:rFonts w:hint="default" w:ascii="Times New Roman" w:hAnsi="Times New Roman" w:eastAsia="国标仿宋-GB/T 2312" w:cs="Times New Roman"/>
          <w:b w:val="0"/>
          <w:bCs w:val="0"/>
          <w:color w:val="auto"/>
          <w:spacing w:val="0"/>
          <w:sz w:val="32"/>
          <w:szCs w:val="32"/>
          <w:u w:val="none"/>
          <w:lang w:val="en-US" w:eastAsia="zh-CN"/>
        </w:rPr>
        <w:t>退出现役并移交地方的残疾军人的护理费，由县级以上地方人民政府退役军人工作主管部门发给。未退出现役或者未移交地方的残疾军人的护理费，由所在部队按照军队有关规定发给。移交政府安置的离退休残疾军人的护理费，按照国家和军队有关规定执行。</w:t>
      </w:r>
    </w:p>
    <w:p w14:paraId="497A3CED">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条件：</w:t>
      </w:r>
    </w:p>
    <w:p w14:paraId="678DE13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b w:val="0"/>
          <w:bCs w:val="0"/>
          <w:color w:val="auto"/>
          <w:spacing w:val="0"/>
          <w:sz w:val="32"/>
          <w:szCs w:val="32"/>
          <w:u w:val="none"/>
          <w:lang w:val="en-US" w:eastAsia="zh-CN"/>
        </w:rPr>
      </w:pPr>
      <w:r>
        <w:rPr>
          <w:rFonts w:hint="eastAsia" w:ascii="Times New Roman" w:hAnsi="Times New Roman" w:eastAsia="国标仿宋-GB/T 2312" w:cs="Times New Roman"/>
          <w:b w:val="0"/>
          <w:bCs w:val="0"/>
          <w:color w:val="auto"/>
          <w:spacing w:val="0"/>
          <w:sz w:val="32"/>
          <w:szCs w:val="32"/>
          <w:u w:val="none"/>
          <w:lang w:val="en-US" w:eastAsia="zh-CN"/>
        </w:rPr>
        <w:t>安置在西藏，</w:t>
      </w:r>
      <w:r>
        <w:rPr>
          <w:rFonts w:hint="default" w:ascii="Times New Roman" w:hAnsi="Times New Roman" w:eastAsia="国标仿宋-GB/T 2312" w:cs="Times New Roman"/>
          <w:b w:val="0"/>
          <w:bCs w:val="0"/>
          <w:color w:val="auto"/>
          <w:spacing w:val="0"/>
          <w:sz w:val="32"/>
          <w:szCs w:val="32"/>
          <w:u w:val="none"/>
          <w:lang w:val="en-US" w:eastAsia="zh-CN"/>
        </w:rPr>
        <w:t>已到安置地人民政府退役军人工作主管部门报到，且为分散安置</w:t>
      </w:r>
      <w:r>
        <w:rPr>
          <w:rFonts w:hint="eastAsia" w:ascii="Times New Roman" w:hAnsi="Times New Roman" w:eastAsia="国标仿宋-GB/T 2312" w:cs="Times New Roman"/>
          <w:b w:val="0"/>
          <w:bCs w:val="0"/>
          <w:color w:val="auto"/>
          <w:spacing w:val="0"/>
          <w:sz w:val="32"/>
          <w:szCs w:val="32"/>
          <w:u w:val="none"/>
          <w:lang w:val="en-US" w:eastAsia="zh-CN"/>
        </w:rPr>
        <w:t>的</w:t>
      </w:r>
      <w:r>
        <w:rPr>
          <w:rFonts w:hint="default" w:ascii="Times New Roman" w:hAnsi="Times New Roman" w:eastAsia="国标仿宋-GB/T 2312" w:cs="Times New Roman"/>
          <w:b w:val="0"/>
          <w:bCs w:val="0"/>
          <w:color w:val="auto"/>
          <w:spacing w:val="0"/>
          <w:sz w:val="32"/>
          <w:szCs w:val="32"/>
          <w:u w:val="none"/>
          <w:lang w:val="en-US" w:eastAsia="zh-CN"/>
        </w:rPr>
        <w:t>一级至四级的残疾</w:t>
      </w:r>
      <w:r>
        <w:rPr>
          <w:rFonts w:hint="eastAsia" w:ascii="Times New Roman" w:hAnsi="Times New Roman" w:eastAsia="国标仿宋-GB/T 2312" w:cs="Times New Roman"/>
          <w:b w:val="0"/>
          <w:bCs w:val="0"/>
          <w:color w:val="auto"/>
          <w:spacing w:val="0"/>
          <w:sz w:val="32"/>
          <w:szCs w:val="32"/>
          <w:u w:val="none"/>
          <w:lang w:val="en-US" w:eastAsia="zh-CN"/>
        </w:rPr>
        <w:t>退役</w:t>
      </w:r>
      <w:r>
        <w:rPr>
          <w:rFonts w:hint="default" w:ascii="Times New Roman" w:hAnsi="Times New Roman" w:eastAsia="国标仿宋-GB/T 2312" w:cs="Times New Roman"/>
          <w:b w:val="0"/>
          <w:bCs w:val="0"/>
          <w:color w:val="auto"/>
          <w:spacing w:val="0"/>
          <w:sz w:val="32"/>
          <w:szCs w:val="32"/>
          <w:u w:val="none"/>
          <w:lang w:val="en-US" w:eastAsia="zh-CN"/>
        </w:rPr>
        <w:t>军人</w:t>
      </w:r>
      <w:r>
        <w:rPr>
          <w:rFonts w:hint="eastAsia" w:ascii="Times New Roman" w:hAnsi="Times New Roman" w:eastAsia="国标仿宋-GB/T 2312" w:cs="Times New Roman"/>
          <w:b w:val="0"/>
          <w:bCs w:val="0"/>
          <w:color w:val="auto"/>
          <w:spacing w:val="0"/>
          <w:sz w:val="32"/>
          <w:szCs w:val="32"/>
          <w:u w:val="none"/>
          <w:lang w:val="en-US" w:eastAsia="zh-CN"/>
        </w:rPr>
        <w:t>和服现役期间因患精神障碍评定为五级至六级的残疾军人</w:t>
      </w:r>
      <w:r>
        <w:rPr>
          <w:rFonts w:hint="default" w:ascii="Times New Roman" w:hAnsi="Times New Roman" w:eastAsia="国标仿宋-GB/T 2312" w:cs="Times New Roman"/>
          <w:b w:val="0"/>
          <w:bCs w:val="0"/>
          <w:color w:val="auto"/>
          <w:spacing w:val="0"/>
          <w:sz w:val="32"/>
          <w:szCs w:val="32"/>
          <w:u w:val="none"/>
          <w:lang w:val="en-US" w:eastAsia="zh-CN"/>
        </w:rPr>
        <w:t>。</w:t>
      </w:r>
    </w:p>
    <w:p w14:paraId="6EE85017">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162695E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1.退役军人工作主管部门</w:t>
      </w:r>
      <w:r>
        <w:rPr>
          <w:rFonts w:hint="eastAsia" w:ascii="Times New Roman" w:hAnsi="Times New Roman" w:eastAsia="国标仿宋-GB/T 2312" w:cs="Times New Roman"/>
          <w:color w:val="auto"/>
          <w:spacing w:val="0"/>
          <w:sz w:val="32"/>
          <w:szCs w:val="32"/>
          <w:u w:val="none"/>
          <w:lang w:val="en-US" w:eastAsia="zh-CN"/>
        </w:rPr>
        <w:t>对</w:t>
      </w:r>
      <w:r>
        <w:rPr>
          <w:rFonts w:hint="default" w:ascii="Times New Roman" w:hAnsi="Times New Roman" w:eastAsia="国标仿宋-GB/T 2312" w:cs="Times New Roman"/>
          <w:color w:val="auto"/>
          <w:spacing w:val="0"/>
          <w:sz w:val="32"/>
          <w:szCs w:val="32"/>
          <w:u w:val="none"/>
          <w:lang w:val="en-US" w:eastAsia="zh-CN"/>
        </w:rPr>
        <w:t>残疾军人的伤残等级、户籍身份材料进行审查；</w:t>
      </w:r>
    </w:p>
    <w:p w14:paraId="0C431E9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2.同级财政部门审核、拨付资金；</w:t>
      </w:r>
    </w:p>
    <w:p w14:paraId="76E23B8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3.代发金融机构将资金发放残疾军人个人指定账户。</w:t>
      </w:r>
    </w:p>
    <w:p w14:paraId="51295CB1">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办理时限：</w:t>
      </w:r>
      <w:r>
        <w:rPr>
          <w:rFonts w:hint="default" w:ascii="Times New Roman" w:hAnsi="Times New Roman" w:eastAsia="国标仿宋-GB/T 2312" w:cs="Times New Roman"/>
          <w:color w:val="auto"/>
          <w:spacing w:val="0"/>
          <w:sz w:val="32"/>
          <w:szCs w:val="32"/>
          <w:u w:val="none"/>
          <w:lang w:eastAsia="zh-CN"/>
        </w:rPr>
        <w:t>自残疾军人</w:t>
      </w:r>
      <w:r>
        <w:rPr>
          <w:rFonts w:hint="default" w:ascii="Times New Roman" w:hAnsi="Times New Roman" w:eastAsia="国标仿宋-GB/T 2312" w:cs="Times New Roman"/>
          <w:color w:val="auto"/>
          <w:spacing w:val="0"/>
          <w:sz w:val="32"/>
          <w:szCs w:val="32"/>
          <w:u w:val="none"/>
        </w:rPr>
        <w:t>到安置地人民政府退役军人工作主管部门报到</w:t>
      </w:r>
      <w:r>
        <w:rPr>
          <w:rFonts w:hint="default" w:ascii="Times New Roman" w:hAnsi="Times New Roman" w:eastAsia="国标仿宋-GB/T 2312" w:cs="Times New Roman"/>
          <w:color w:val="auto"/>
          <w:spacing w:val="0"/>
          <w:sz w:val="32"/>
          <w:szCs w:val="32"/>
          <w:u w:val="none"/>
          <w:lang w:eastAsia="zh-CN"/>
        </w:rPr>
        <w:t>后</w:t>
      </w:r>
      <w:r>
        <w:rPr>
          <w:rFonts w:hint="default" w:ascii="Times New Roman" w:hAnsi="Times New Roman" w:eastAsia="国标仿宋-GB/T 2312" w:cs="Times New Roman"/>
          <w:color w:val="auto"/>
          <w:spacing w:val="0"/>
          <w:sz w:val="32"/>
          <w:szCs w:val="32"/>
          <w:u w:val="none"/>
          <w:lang w:val="en-US" w:eastAsia="zh-CN"/>
        </w:rPr>
        <w:t>，从下一年起按月发放。</w:t>
      </w:r>
    </w:p>
    <w:p w14:paraId="14320681">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申请材料：</w:t>
      </w:r>
      <w:r>
        <w:rPr>
          <w:rFonts w:hint="default" w:ascii="Times New Roman" w:hAnsi="Times New Roman" w:eastAsia="国标仿宋-GB/T 2312" w:cs="Times New Roman"/>
          <w:color w:val="auto"/>
          <w:spacing w:val="0"/>
          <w:sz w:val="32"/>
          <w:szCs w:val="32"/>
          <w:u w:val="none"/>
          <w:lang w:val="en-US" w:eastAsia="zh-CN"/>
        </w:rPr>
        <w:t>经申请人确认的银行卡、存折账户等合法银行账户信息。</w:t>
      </w:r>
    </w:p>
    <w:p w14:paraId="37F37EA7">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方正楷体简体" w:cs="Times New Roman"/>
          <w:b/>
          <w:bCs/>
          <w:color w:val="auto"/>
          <w:spacing w:val="0"/>
          <w:sz w:val="32"/>
          <w:szCs w:val="32"/>
          <w:u w:val="none"/>
          <w:lang w:eastAsia="zh-CN"/>
        </w:rPr>
      </w:pPr>
      <w:r>
        <w:rPr>
          <w:rFonts w:hint="default" w:ascii="Times New Roman" w:hAnsi="Times New Roman" w:eastAsia="国标楷体-GB/T 2312" w:cs="Times New Roman"/>
          <w:b w:val="0"/>
          <w:bCs w:val="0"/>
          <w:color w:val="auto"/>
          <w:spacing w:val="0"/>
          <w:sz w:val="32"/>
          <w:szCs w:val="32"/>
          <w:u w:val="none"/>
        </w:rPr>
        <w:t>（</w:t>
      </w:r>
      <w:r>
        <w:rPr>
          <w:rFonts w:hint="default" w:ascii="Times New Roman" w:hAnsi="Times New Roman" w:eastAsia="国标楷体-GB/T 2312" w:cs="Times New Roman"/>
          <w:b w:val="0"/>
          <w:bCs w:val="0"/>
          <w:color w:val="auto"/>
          <w:spacing w:val="0"/>
          <w:sz w:val="32"/>
          <w:szCs w:val="32"/>
          <w:u w:val="none"/>
          <w:lang w:eastAsia="zh-CN"/>
        </w:rPr>
        <w:t>九</w:t>
      </w:r>
      <w:r>
        <w:rPr>
          <w:rFonts w:hint="default" w:ascii="Times New Roman" w:hAnsi="Times New Roman" w:eastAsia="国标楷体-GB/T 2312" w:cs="Times New Roman"/>
          <w:b w:val="0"/>
          <w:bCs w:val="0"/>
          <w:color w:val="auto"/>
          <w:spacing w:val="0"/>
          <w:sz w:val="32"/>
          <w:szCs w:val="32"/>
          <w:u w:val="none"/>
        </w:rPr>
        <w:t>）</w:t>
      </w:r>
      <w:r>
        <w:rPr>
          <w:rFonts w:hint="default" w:ascii="Times New Roman" w:hAnsi="Times New Roman" w:eastAsia="国标楷体-GB/T 2312" w:cs="Times New Roman"/>
          <w:b w:val="0"/>
          <w:bCs w:val="0"/>
          <w:color w:val="auto"/>
          <w:spacing w:val="0"/>
          <w:sz w:val="32"/>
          <w:szCs w:val="32"/>
          <w:u w:val="none"/>
          <w:lang w:eastAsia="zh-CN"/>
        </w:rPr>
        <w:t>为</w:t>
      </w:r>
      <w:r>
        <w:rPr>
          <w:rFonts w:hint="default" w:ascii="Times New Roman" w:hAnsi="Times New Roman" w:eastAsia="国标楷体-GB/T 2312" w:cs="Times New Roman"/>
          <w:b w:val="0"/>
          <w:bCs w:val="0"/>
          <w:color w:val="auto"/>
          <w:spacing w:val="0"/>
          <w:sz w:val="32"/>
          <w:szCs w:val="32"/>
          <w:u w:val="none"/>
        </w:rPr>
        <w:t>退出现役的残疾军人配制假肢、代步三轮车等辅助器械</w:t>
      </w:r>
      <w:r>
        <w:rPr>
          <w:rFonts w:hint="default" w:ascii="Times New Roman" w:hAnsi="Times New Roman" w:eastAsia="国标楷体-GB/T 2312" w:cs="Times New Roman"/>
          <w:b w:val="0"/>
          <w:bCs w:val="0"/>
          <w:color w:val="auto"/>
          <w:spacing w:val="0"/>
          <w:sz w:val="32"/>
          <w:szCs w:val="32"/>
          <w:u w:val="none"/>
          <w:lang w:eastAsia="zh-CN"/>
        </w:rPr>
        <w:t>。</w:t>
      </w:r>
    </w:p>
    <w:p w14:paraId="3DE2A9FA">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val="0"/>
          <w:bCs w:val="0"/>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b w:val="0"/>
          <w:bCs w:val="0"/>
          <w:color w:val="auto"/>
          <w:spacing w:val="0"/>
          <w:sz w:val="32"/>
          <w:szCs w:val="32"/>
          <w:u w:val="none"/>
          <w:lang w:eastAsia="zh-CN"/>
        </w:rPr>
        <w:t>行政给付。</w:t>
      </w:r>
    </w:p>
    <w:p w14:paraId="444C4DC3">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lang w:val="en-US" w:eastAsia="zh-CN"/>
        </w:rPr>
        <w:t>法定依据：</w:t>
      </w:r>
      <w:r>
        <w:rPr>
          <w:rFonts w:hint="default" w:ascii="Times New Roman" w:hAnsi="Times New Roman" w:eastAsia="国标仿宋-GB/T 2312" w:cs="Times New Roman"/>
          <w:color w:val="auto"/>
          <w:spacing w:val="0"/>
          <w:sz w:val="32"/>
          <w:szCs w:val="32"/>
          <w:u w:val="none"/>
          <w:lang w:val="en-US" w:eastAsia="zh-CN"/>
        </w:rPr>
        <w:t>《军人抚恤优待条例》第三十五条 残疾军人因残情需要配制假肢、轮椅、助听器等康复辅助器具，正在服现役的，由军队军级以上单位负责解决；退出现役的，由省级人民政府退役军人工作主管部门负责解决，所需经费由省级人民政府保障。</w:t>
      </w:r>
    </w:p>
    <w:p w14:paraId="5A6C1269">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 w:eastAsia="zh-CN"/>
        </w:rPr>
      </w:pPr>
      <w:r>
        <w:rPr>
          <w:rFonts w:hint="default" w:ascii="Times New Roman" w:hAnsi="Times New Roman" w:eastAsia="国标仿宋-GB/T 2312" w:cs="Times New Roman"/>
          <w:b/>
          <w:bCs/>
          <w:color w:val="auto"/>
          <w:spacing w:val="0"/>
          <w:sz w:val="32"/>
          <w:szCs w:val="32"/>
          <w:u w:val="none"/>
          <w:lang w:val="en-US" w:eastAsia="zh-CN"/>
        </w:rPr>
        <w:t>条件：</w:t>
      </w:r>
      <w:r>
        <w:rPr>
          <w:rFonts w:hint="eastAsia" w:ascii="Times New Roman" w:hAnsi="Times New Roman" w:eastAsia="国标仿宋-GB/T 2312" w:cs="Times New Roman"/>
          <w:color w:val="auto"/>
          <w:spacing w:val="0"/>
          <w:sz w:val="32"/>
          <w:szCs w:val="32"/>
          <w:u w:val="none"/>
          <w:lang w:val="en-US" w:eastAsia="zh-CN"/>
        </w:rPr>
        <w:t>伤残抚恤关系在西藏</w:t>
      </w:r>
      <w:r>
        <w:rPr>
          <w:rFonts w:hint="default" w:ascii="Times New Roman" w:hAnsi="Times New Roman" w:eastAsia="国标仿宋-GB/T 2312" w:cs="Times New Roman"/>
          <w:color w:val="auto"/>
          <w:spacing w:val="0"/>
          <w:sz w:val="32"/>
          <w:szCs w:val="32"/>
          <w:u w:val="none"/>
          <w:lang w:val="en-US" w:eastAsia="zh-CN"/>
        </w:rPr>
        <w:t>的残疾退役军人。</w:t>
      </w:r>
    </w:p>
    <w:p w14:paraId="4EC9C09F">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724ACA26">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1.本人（本人无行为能力的由其直系亲属）向当地县级退役军人工作主管部门提出申请；</w:t>
      </w:r>
    </w:p>
    <w:p w14:paraId="5E07478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2.县级退役军人工作主管部门审查；</w:t>
      </w:r>
    </w:p>
    <w:p w14:paraId="388CD77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3.市级退役军人工作主管部门审核；</w:t>
      </w:r>
    </w:p>
    <w:p w14:paraId="6B8D6F8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4.自治区退役军人工作主管部门审批；</w:t>
      </w:r>
    </w:p>
    <w:p w14:paraId="609B053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5.县级退役军人工作主管部门根据</w:t>
      </w:r>
      <w:r>
        <w:rPr>
          <w:rFonts w:hint="eastAsia" w:ascii="Times New Roman" w:hAnsi="Times New Roman" w:eastAsia="国标仿宋-GB/T 2312" w:cs="Times New Roman"/>
          <w:color w:val="auto"/>
          <w:spacing w:val="0"/>
          <w:sz w:val="32"/>
          <w:szCs w:val="32"/>
          <w:u w:val="none"/>
          <w:lang w:val="en-US" w:eastAsia="zh-CN"/>
        </w:rPr>
        <w:t>省级</w:t>
      </w:r>
      <w:r>
        <w:rPr>
          <w:rFonts w:hint="default" w:ascii="Times New Roman" w:hAnsi="Times New Roman" w:eastAsia="国标仿宋-GB/T 2312" w:cs="Times New Roman"/>
          <w:color w:val="auto"/>
          <w:spacing w:val="0"/>
          <w:sz w:val="32"/>
          <w:szCs w:val="32"/>
          <w:u w:val="none"/>
          <w:lang w:val="en-US" w:eastAsia="zh-CN"/>
        </w:rPr>
        <w:t>退役军人工作主管部门批准的配置项目为申请人开具介绍信；</w:t>
      </w:r>
    </w:p>
    <w:p w14:paraId="1371812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6.申请人到配置机构联系配置；</w:t>
      </w:r>
    </w:p>
    <w:p w14:paraId="7EFD782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7.配置机构为申请人生产配置、更换、维修康复辅助器具。</w:t>
      </w:r>
    </w:p>
    <w:p w14:paraId="2E0DDE4E">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办理时限：</w:t>
      </w:r>
    </w:p>
    <w:p w14:paraId="631A142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1.县级退役军人工作主管部门在收到申请后5个工作日内审查完毕；</w:t>
      </w:r>
    </w:p>
    <w:p w14:paraId="785E824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2.地市级退役军人工作主管部门在收到上报材料后5个工作日内审核完毕；</w:t>
      </w:r>
    </w:p>
    <w:p w14:paraId="73C8725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3.自治区退役军人工作主管部门收到上报材料后20个工作日内审批完毕。</w:t>
      </w:r>
    </w:p>
    <w:p w14:paraId="396FD11A">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申请材料：</w:t>
      </w:r>
    </w:p>
    <w:p w14:paraId="15A1902D">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val="0"/>
          <w:bCs w:val="0"/>
          <w:color w:val="auto"/>
          <w:spacing w:val="0"/>
          <w:sz w:val="32"/>
          <w:szCs w:val="32"/>
          <w:u w:val="none"/>
          <w:lang w:val="en-US" w:eastAsia="zh-CN"/>
        </w:rPr>
        <w:t>1.</w:t>
      </w:r>
      <w:r>
        <w:rPr>
          <w:rFonts w:hint="default" w:ascii="Times New Roman" w:hAnsi="Times New Roman" w:eastAsia="国标仿宋-GB/T 2312" w:cs="Times New Roman"/>
          <w:color w:val="auto"/>
          <w:spacing w:val="0"/>
          <w:sz w:val="32"/>
          <w:szCs w:val="32"/>
          <w:u w:val="none"/>
          <w:lang w:eastAsia="zh-CN"/>
        </w:rPr>
        <w:t>书面申请；</w:t>
      </w:r>
    </w:p>
    <w:p w14:paraId="7A3A4BFB">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2.残疾军人证；</w:t>
      </w:r>
    </w:p>
    <w:p w14:paraId="3CAD6482">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3.户籍证明（身份证或户口簿）</w:t>
      </w:r>
      <w:r>
        <w:rPr>
          <w:rFonts w:hint="default" w:ascii="Times New Roman" w:hAnsi="Times New Roman" w:eastAsia="国标仿宋-GB/T 2312" w:cs="Times New Roman"/>
          <w:color w:val="auto"/>
          <w:spacing w:val="0"/>
          <w:sz w:val="32"/>
          <w:szCs w:val="32"/>
          <w:u w:val="none"/>
          <w:lang w:eastAsia="zh-CN"/>
        </w:rPr>
        <w:t>。</w:t>
      </w:r>
    </w:p>
    <w:p w14:paraId="07C3853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方正楷体简体" w:cs="Times New Roman"/>
          <w:b w:val="0"/>
          <w:bCs w:val="0"/>
          <w:color w:val="auto"/>
          <w:spacing w:val="0"/>
          <w:sz w:val="32"/>
          <w:szCs w:val="32"/>
          <w:u w:val="none"/>
          <w:lang w:eastAsia="zh-CN"/>
        </w:rPr>
      </w:pPr>
      <w:r>
        <w:rPr>
          <w:rFonts w:hint="default" w:ascii="Times New Roman" w:hAnsi="Times New Roman" w:eastAsia="国标楷体-GB/T 2312" w:cs="Times New Roman"/>
          <w:b w:val="0"/>
          <w:bCs w:val="0"/>
          <w:color w:val="auto"/>
          <w:spacing w:val="0"/>
          <w:sz w:val="32"/>
          <w:szCs w:val="32"/>
          <w:u w:val="none"/>
          <w:lang w:eastAsia="zh-CN"/>
        </w:rPr>
        <w:t>（十）自主择业军转干部退役金给付。</w:t>
      </w:r>
    </w:p>
    <w:p w14:paraId="69BAECDD">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行政给付。</w:t>
      </w:r>
    </w:p>
    <w:p w14:paraId="700C992B">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44F4E6F4">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kern w:val="0"/>
          <w:sz w:val="32"/>
          <w:szCs w:val="32"/>
          <w:u w:val="none"/>
          <w:lang w:val="en-US" w:eastAsia="zh-CN" w:bidi="ar-SA"/>
        </w:rPr>
      </w:pPr>
      <w:r>
        <w:rPr>
          <w:rFonts w:hint="default" w:ascii="Times New Roman" w:hAnsi="Times New Roman" w:eastAsia="国标仿宋-GB/T 2312" w:cs="Times New Roman"/>
          <w:color w:val="auto"/>
          <w:spacing w:val="0"/>
          <w:sz w:val="32"/>
          <w:szCs w:val="32"/>
          <w:u w:val="none"/>
          <w:lang w:val="en-US" w:eastAsia="zh-CN"/>
        </w:rPr>
        <w:t>1.</w:t>
      </w:r>
      <w:r>
        <w:rPr>
          <w:rFonts w:hint="default" w:ascii="Times New Roman" w:hAnsi="Times New Roman" w:eastAsia="国标仿宋-GB/T 2312" w:cs="Times New Roman"/>
          <w:color w:val="auto"/>
          <w:spacing w:val="0"/>
          <w:kern w:val="0"/>
          <w:sz w:val="32"/>
          <w:szCs w:val="32"/>
          <w:u w:val="none"/>
          <w:lang w:val="en-US" w:eastAsia="zh-CN" w:bidi="ar-SA"/>
        </w:rPr>
        <w:t>《中华人民共和国退役军人保障法》第八十四条 军官离职休养和军级以上职务军官退休后，按照国务院和中央军事委员会的有关规定安置管理</w:t>
      </w:r>
      <w:r>
        <w:rPr>
          <w:rFonts w:hint="eastAsia" w:ascii="Times New Roman" w:hAnsi="Times New Roman" w:eastAsia="国标仿宋-GB/T 2312" w:cs="Times New Roman"/>
          <w:color w:val="auto"/>
          <w:spacing w:val="0"/>
          <w:kern w:val="0"/>
          <w:sz w:val="32"/>
          <w:szCs w:val="32"/>
          <w:u w:val="none"/>
          <w:lang w:val="en-US" w:eastAsia="zh-CN" w:bidi="ar-SA"/>
        </w:rPr>
        <w:t>。</w:t>
      </w:r>
      <w:r>
        <w:rPr>
          <w:rFonts w:hint="default" w:ascii="Times New Roman" w:hAnsi="Times New Roman" w:eastAsia="国标仿宋-GB/T 2312" w:cs="Times New Roman"/>
          <w:color w:val="auto"/>
          <w:spacing w:val="0"/>
          <w:kern w:val="0"/>
          <w:sz w:val="32"/>
          <w:szCs w:val="32"/>
          <w:u w:val="none"/>
          <w:lang w:val="en-US" w:eastAsia="zh-CN" w:bidi="ar-SA"/>
        </w:rPr>
        <w:t xml:space="preserve">本法施行前已经按照自主择业方式安置的退役军人的待遇保障，按照国务院和中央军事委员会的有关规定执行。    </w:t>
      </w:r>
    </w:p>
    <w:p w14:paraId="3464231B">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kern w:val="0"/>
          <w:sz w:val="32"/>
          <w:szCs w:val="32"/>
          <w:u w:val="none"/>
          <w:lang w:val="en-US" w:eastAsia="zh-CN" w:bidi="ar-SA"/>
        </w:rPr>
      </w:pPr>
      <w:r>
        <w:rPr>
          <w:rFonts w:hint="default" w:ascii="Times New Roman" w:hAnsi="Times New Roman" w:eastAsia="国标仿宋-GB/T 2312" w:cs="Times New Roman"/>
          <w:color w:val="auto"/>
          <w:spacing w:val="0"/>
          <w:kern w:val="0"/>
          <w:sz w:val="32"/>
          <w:szCs w:val="32"/>
          <w:u w:val="none"/>
          <w:lang w:val="en-US" w:eastAsia="zh-CN" w:bidi="ar-SA"/>
        </w:rPr>
        <w:t>2.《军队转业干部安置暂行办法》第三十八条 自主择业的军队转业干部，由安置地政府逐月发给退役金。团级职务和军龄满20年的营级职务军队转业干部的月退役金，按照本人转业时安置地同职务等级军队干部职务、军衔（级别）工资和军队统一规定的津贴补贴为计发基数80%的数额与基础、军龄工资的全额之和计发。军龄满20年以上的，从第21年起，军龄每增加一年，增发月退役金计发基数1%。</w:t>
      </w:r>
    </w:p>
    <w:p w14:paraId="5A284EFB">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条件：</w:t>
      </w:r>
    </w:p>
    <w:p w14:paraId="19D104C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选择自主择业</w:t>
      </w:r>
      <w:r>
        <w:rPr>
          <w:rFonts w:hint="eastAsia" w:ascii="Times New Roman" w:hAnsi="Times New Roman" w:eastAsia="国标仿宋-GB/T 2312" w:cs="Times New Roman"/>
          <w:color w:val="auto"/>
          <w:spacing w:val="0"/>
          <w:sz w:val="32"/>
          <w:szCs w:val="32"/>
          <w:u w:val="none"/>
          <w:lang w:val="en-US" w:eastAsia="zh-CN"/>
        </w:rPr>
        <w:t>且安置在西藏</w:t>
      </w:r>
      <w:r>
        <w:rPr>
          <w:rFonts w:hint="default" w:ascii="Times New Roman" w:hAnsi="Times New Roman" w:eastAsia="国标仿宋-GB/T 2312" w:cs="Times New Roman"/>
          <w:color w:val="auto"/>
          <w:spacing w:val="0"/>
          <w:sz w:val="32"/>
          <w:szCs w:val="32"/>
          <w:u w:val="none"/>
          <w:lang w:val="en-US" w:eastAsia="zh-CN"/>
        </w:rPr>
        <w:t>的军队转业干部。</w:t>
      </w:r>
    </w:p>
    <w:p w14:paraId="22D0BAB9">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4BAD27C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1.其</w:t>
      </w:r>
      <w:r>
        <w:rPr>
          <w:rFonts w:hint="eastAsia" w:ascii="Times New Roman" w:hAnsi="Times New Roman" w:eastAsia="国标仿宋-GB/T 2312" w:cs="Times New Roman"/>
          <w:color w:val="auto"/>
          <w:spacing w:val="0"/>
          <w:sz w:val="32"/>
          <w:szCs w:val="32"/>
          <w:u w:val="none"/>
          <w:lang w:val="en-US" w:eastAsia="zh-CN"/>
        </w:rPr>
        <w:t>户籍所在地</w:t>
      </w:r>
      <w:r>
        <w:rPr>
          <w:rFonts w:hint="default" w:ascii="Times New Roman" w:hAnsi="Times New Roman" w:eastAsia="国标仿宋-GB/T 2312" w:cs="Times New Roman"/>
          <w:color w:val="auto"/>
          <w:spacing w:val="0"/>
          <w:sz w:val="32"/>
          <w:szCs w:val="32"/>
          <w:u w:val="none"/>
          <w:lang w:val="en-US" w:eastAsia="zh-CN"/>
        </w:rPr>
        <w:t>市级人民政府退役军人工作主管部门审核其身份和待遇发放额度；</w:t>
      </w:r>
    </w:p>
    <w:p w14:paraId="02AC304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2.省级退役军人工作主管部门复核；</w:t>
      </w:r>
    </w:p>
    <w:p w14:paraId="6855919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3.省级财政部门审核、拨付资金；</w:t>
      </w:r>
    </w:p>
    <w:p w14:paraId="22CC157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4.代发金融机构将资金发放到自主择业军转干部个人指定账户。</w:t>
      </w:r>
    </w:p>
    <w:p w14:paraId="21FE317B">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办理时限：</w:t>
      </w:r>
      <w:r>
        <w:rPr>
          <w:rFonts w:hint="default" w:ascii="Times New Roman" w:hAnsi="Times New Roman" w:eastAsia="国标仿宋-GB/T 2312" w:cs="Times New Roman"/>
          <w:color w:val="auto"/>
          <w:spacing w:val="0"/>
          <w:sz w:val="32"/>
          <w:szCs w:val="32"/>
          <w:u w:val="none"/>
          <w:lang w:eastAsia="zh-CN"/>
        </w:rPr>
        <w:t>每月</w:t>
      </w:r>
      <w:r>
        <w:rPr>
          <w:rFonts w:hint="default" w:ascii="Times New Roman" w:hAnsi="Times New Roman" w:eastAsia="国标仿宋-GB/T 2312" w:cs="Times New Roman"/>
          <w:color w:val="auto"/>
          <w:spacing w:val="0"/>
          <w:sz w:val="32"/>
          <w:szCs w:val="32"/>
          <w:u w:val="none"/>
          <w:lang w:val="en-US" w:eastAsia="zh-CN"/>
        </w:rPr>
        <w:t>10日前发放，遇节假日可提前发放。</w:t>
      </w:r>
    </w:p>
    <w:p w14:paraId="15231F2C">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申请材料：</w:t>
      </w:r>
      <w:r>
        <w:rPr>
          <w:rFonts w:hint="default" w:ascii="Times New Roman" w:hAnsi="Times New Roman" w:eastAsia="国标仿宋-GB/T 2312" w:cs="Times New Roman"/>
          <w:color w:val="auto"/>
          <w:spacing w:val="0"/>
          <w:sz w:val="32"/>
          <w:szCs w:val="32"/>
          <w:u w:val="none"/>
          <w:lang w:val="en-US" w:eastAsia="zh-CN"/>
        </w:rPr>
        <w:t>无。</w:t>
      </w:r>
    </w:p>
    <w:p w14:paraId="4B2EB96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楷体-GB/T 2312" w:cs="Times New Roman"/>
          <w:b w:val="0"/>
          <w:bCs w:val="0"/>
          <w:color w:val="auto"/>
          <w:spacing w:val="0"/>
          <w:sz w:val="32"/>
          <w:szCs w:val="32"/>
          <w:u w:val="none"/>
          <w:lang w:eastAsia="zh-CN"/>
        </w:rPr>
      </w:pPr>
      <w:r>
        <w:rPr>
          <w:rFonts w:hint="default" w:ascii="Times New Roman" w:hAnsi="Times New Roman" w:eastAsia="国标楷体-GB/T 2312" w:cs="Times New Roman"/>
          <w:b w:val="0"/>
          <w:bCs w:val="0"/>
          <w:color w:val="auto"/>
          <w:spacing w:val="0"/>
          <w:sz w:val="32"/>
          <w:szCs w:val="32"/>
          <w:u w:val="none"/>
          <w:lang w:eastAsia="zh-CN"/>
        </w:rPr>
        <w:t>（十一）自主择业转业干部抚恤金和丧葬补助费的发放。</w:t>
      </w:r>
    </w:p>
    <w:p w14:paraId="347053C6">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行政给付。</w:t>
      </w:r>
    </w:p>
    <w:p w14:paraId="67DBBE84">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799D907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1.《军队转业安置暂行办法》第四十一条 自主择业的军队转业干部去世后，从去世的下月起停发退役金。区别不同情况，一次发给本人生前10个月至40个月的退役金作为抚恤金和一定数额的退役金作为丧葬补助费。具体办法由有关部门另行制定。</w:t>
      </w:r>
    </w:p>
    <w:p w14:paraId="4BC2790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2.《关于自主择业转业干部安置管理若干问题的意见》第九条 自主择业的军队转业干部去世后，一次发给抚恤金和丧葬补助费，所需经费由中央财政支付。抚恤金标准：被批准为革命烈士的，为本人生前40个月的退役金；因公死亡的，为本人生前20个月的退役金；病故的，为本人生前10个月的退役金。丧葬补助费标准为本人生前12个月的退役金。</w:t>
      </w:r>
    </w:p>
    <w:p w14:paraId="2B299DDA">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条件：</w:t>
      </w:r>
    </w:p>
    <w:p w14:paraId="740003E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确认自主择业转业干部亡故的。</w:t>
      </w:r>
    </w:p>
    <w:p w14:paraId="1875D037">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0CBA43D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1.自主择业转业干部遗属向安置地退役军人工作主管部门提出申请和去世相关证明材料；</w:t>
      </w:r>
    </w:p>
    <w:p w14:paraId="43F883C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2.省级退役军人工作主管部门审核；</w:t>
      </w:r>
    </w:p>
    <w:p w14:paraId="16A3B66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3.省级财政部门审核、拨付资金；</w:t>
      </w:r>
    </w:p>
    <w:p w14:paraId="03AC793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4.代发金融机构将资金发放到其遗属个人指定账户。</w:t>
      </w:r>
    </w:p>
    <w:p w14:paraId="1E5AED2F">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办理时限：</w:t>
      </w:r>
      <w:r>
        <w:rPr>
          <w:rFonts w:hint="default" w:ascii="Times New Roman" w:hAnsi="Times New Roman" w:eastAsia="国标仿宋-GB/T 2312" w:cs="Times New Roman"/>
          <w:color w:val="auto"/>
          <w:spacing w:val="0"/>
          <w:sz w:val="32"/>
          <w:szCs w:val="32"/>
          <w:u w:val="none"/>
          <w:lang w:eastAsia="zh-CN"/>
        </w:rPr>
        <w:t>自收到自主择业转业干部遗属申请之日起</w:t>
      </w:r>
      <w:r>
        <w:rPr>
          <w:rFonts w:hint="default" w:ascii="Times New Roman" w:hAnsi="Times New Roman" w:eastAsia="国标仿宋-GB/T 2312" w:cs="Times New Roman"/>
          <w:color w:val="auto"/>
          <w:spacing w:val="0"/>
          <w:sz w:val="32"/>
          <w:szCs w:val="32"/>
          <w:u w:val="none"/>
          <w:lang w:val="en-US" w:eastAsia="zh-CN"/>
        </w:rPr>
        <w:t>60个工作日内发放。</w:t>
      </w:r>
    </w:p>
    <w:p w14:paraId="53C7E828">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申请材料：</w:t>
      </w:r>
    </w:p>
    <w:p w14:paraId="05E7EE7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1.申请书；</w:t>
      </w:r>
    </w:p>
    <w:p w14:paraId="75B95FA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2.病故证明书；</w:t>
      </w:r>
    </w:p>
    <w:p w14:paraId="150E58F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3.申请人与病故自主择业转业干部关系证明；</w:t>
      </w:r>
    </w:p>
    <w:p w14:paraId="354BE01E">
      <w:pPr>
        <w:pStyle w:val="17"/>
        <w:keepNext w:val="0"/>
        <w:keepLines w:val="0"/>
        <w:pageBreakBefore w:val="0"/>
        <w:kinsoku/>
        <w:wordWrap/>
        <w:overflowPunct/>
        <w:topLinePunct w:val="0"/>
        <w:autoSpaceDE/>
        <w:autoSpaceDN/>
        <w:bidi w:val="0"/>
        <w:adjustRightInd w:val="0"/>
        <w:snapToGrid w:val="0"/>
        <w:spacing w:line="576" w:lineRule="exact"/>
        <w:textAlignment w:val="auto"/>
        <w:rPr>
          <w:rFonts w:hint="default" w:ascii="Times New Roman" w:hAnsi="Times New Roman" w:eastAsia="国标仿宋-GB/T 2312" w:cs="Times New Roman"/>
          <w:spacing w:val="0"/>
          <w:lang w:val="en-US" w:eastAsia="zh-CN"/>
        </w:rPr>
      </w:pPr>
      <w:r>
        <w:rPr>
          <w:rFonts w:hint="default" w:ascii="Times New Roman" w:hAnsi="Times New Roman" w:eastAsia="国标仿宋-GB/T 2312" w:cs="Times New Roman"/>
          <w:color w:val="auto"/>
          <w:spacing w:val="0"/>
          <w:sz w:val="32"/>
          <w:szCs w:val="32"/>
          <w:u w:val="none"/>
          <w:lang w:val="en-US" w:eastAsia="zh-CN"/>
        </w:rPr>
        <w:t>4.多个有权申请人之间签订的分配协议书；</w:t>
      </w:r>
    </w:p>
    <w:p w14:paraId="1B5DF5F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5.经申请人确认的银行卡、存折账户等合法银行账户信息。</w:t>
      </w:r>
    </w:p>
    <w:p w14:paraId="57DAC8C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楷体-GB/T 2312" w:cs="Times New Roman"/>
          <w:b w:val="0"/>
          <w:bCs w:val="0"/>
          <w:color w:val="auto"/>
          <w:spacing w:val="0"/>
          <w:sz w:val="32"/>
          <w:szCs w:val="32"/>
          <w:u w:val="none"/>
          <w:lang w:eastAsia="zh-CN"/>
        </w:rPr>
      </w:pPr>
      <w:r>
        <w:rPr>
          <w:rFonts w:hint="default" w:ascii="Times New Roman" w:hAnsi="Times New Roman" w:eastAsia="国标楷体-GB/T 2312" w:cs="Times New Roman"/>
          <w:b w:val="0"/>
          <w:bCs w:val="0"/>
          <w:color w:val="auto"/>
          <w:spacing w:val="0"/>
          <w:sz w:val="32"/>
          <w:szCs w:val="32"/>
          <w:u w:val="none"/>
          <w:lang w:eastAsia="zh-CN"/>
        </w:rPr>
        <w:t>（十二）分散供养的残疾退役军士和义务兵购（建）房经费的发放。</w:t>
      </w:r>
    </w:p>
    <w:p w14:paraId="0AFBBF25">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行政给付。</w:t>
      </w:r>
    </w:p>
    <w:p w14:paraId="3096A1F9">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70F7C224">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《退役军人安置条例》</w:t>
      </w:r>
      <w:r>
        <w:rPr>
          <w:rFonts w:hint="default" w:ascii="Times New Roman" w:hAnsi="Times New Roman" w:eastAsia="国标仿宋-GB/T 2312" w:cs="Times New Roman"/>
          <w:color w:val="auto"/>
          <w:spacing w:val="0"/>
          <w:sz w:val="32"/>
          <w:szCs w:val="32"/>
          <w:u w:val="none"/>
          <w:lang w:eastAsia="zh-CN"/>
        </w:rPr>
        <w:t xml:space="preserve">第七十八条 </w:t>
      </w:r>
      <w:r>
        <w:rPr>
          <w:rFonts w:hint="default" w:ascii="Times New Roman" w:hAnsi="Times New Roman" w:eastAsia="国标仿宋-GB/T 2312" w:cs="Times New Roman"/>
          <w:color w:val="auto"/>
          <w:spacing w:val="0"/>
          <w:sz w:val="32"/>
          <w:szCs w:val="32"/>
          <w:u w:val="none"/>
          <w:lang w:val="en-US" w:eastAsia="zh-CN"/>
        </w:rPr>
        <w:t>分散供养的退役军士和义务兵购（建）房所需经费的标准，按照安置地县（市、区、旗）经济适用住房平均价格和60平方米的建筑面积确定；没有经济适用住房的地区按照普通商品住房价格确定。所购（建）房屋产权归分散供养的退役军士和义务兵所有，依法办理不动产登记。</w:t>
      </w:r>
    </w:p>
    <w:p w14:paraId="5E954B6D">
      <w:pPr>
        <w:pStyle w:val="3"/>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kern w:val="2"/>
          <w:sz w:val="32"/>
          <w:szCs w:val="32"/>
          <w:u w:val="none"/>
          <w:lang w:val="en-US" w:eastAsia="zh-CN" w:bidi="ar-SA"/>
        </w:rPr>
        <w:t>分散供养的退役军士和义务兵自行解决住房的，按照前款规定的标准将购（建）房费用发给本人。</w:t>
      </w:r>
    </w:p>
    <w:p w14:paraId="3D749888">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条件：</w:t>
      </w:r>
    </w:p>
    <w:p w14:paraId="598C471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eastAsia" w:ascii="Times New Roman" w:hAnsi="Times New Roman" w:eastAsia="国标仿宋-GB/T 2312" w:cs="Times New Roman"/>
          <w:color w:val="auto"/>
          <w:spacing w:val="0"/>
          <w:sz w:val="32"/>
          <w:szCs w:val="32"/>
          <w:u w:val="none"/>
          <w:lang w:val="en-US" w:eastAsia="zh-CN"/>
        </w:rPr>
        <w:t>由西藏自治区负责</w:t>
      </w:r>
      <w:r>
        <w:rPr>
          <w:rFonts w:hint="default" w:ascii="Times New Roman" w:hAnsi="Times New Roman" w:eastAsia="国标仿宋-GB/T 2312" w:cs="Times New Roman"/>
          <w:color w:val="auto"/>
          <w:spacing w:val="0"/>
          <w:sz w:val="32"/>
          <w:szCs w:val="32"/>
          <w:u w:val="none"/>
          <w:lang w:val="en-US" w:eastAsia="zh-CN"/>
        </w:rPr>
        <w:t>分散供养的退役军士和义务兵。</w:t>
      </w:r>
    </w:p>
    <w:p w14:paraId="4BB7EDB3">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0F04820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1.县级退役军人工作主管部门接到分散供养的退役军士和义务兵按照标准进行预算申请；</w:t>
      </w:r>
    </w:p>
    <w:p w14:paraId="30B36BA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2.县级财政部门审核、拨付资金；</w:t>
      </w:r>
    </w:p>
    <w:p w14:paraId="7D7B9AD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3.县级退役军人工作主管部门协助购房，或者由代发金融机构按照分散供养退役军士和义务兵要求将资金发放到其个人指定账户。</w:t>
      </w:r>
    </w:p>
    <w:p w14:paraId="69B4BC8E">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办理时限：</w:t>
      </w:r>
      <w:r>
        <w:rPr>
          <w:rFonts w:hint="default" w:ascii="Times New Roman" w:hAnsi="Times New Roman" w:eastAsia="国标仿宋-GB/T 2312" w:cs="Times New Roman"/>
          <w:color w:val="auto"/>
          <w:spacing w:val="0"/>
          <w:sz w:val="32"/>
          <w:szCs w:val="32"/>
          <w:u w:val="none"/>
          <w:lang w:eastAsia="zh-CN"/>
        </w:rPr>
        <w:t>自收到分散供养的退役军士和义务兵购（建）房或自行解决住房需求后之日起</w:t>
      </w:r>
      <w:r>
        <w:rPr>
          <w:rFonts w:hint="default" w:ascii="Times New Roman" w:hAnsi="Times New Roman" w:eastAsia="国标仿宋-GB/T 2312" w:cs="Times New Roman"/>
          <w:color w:val="auto"/>
          <w:spacing w:val="0"/>
          <w:sz w:val="32"/>
          <w:szCs w:val="32"/>
          <w:u w:val="none"/>
          <w:lang w:val="en-US" w:eastAsia="zh-CN"/>
        </w:rPr>
        <w:t>180个工作日内发放。</w:t>
      </w:r>
    </w:p>
    <w:p w14:paraId="7EE21BA1">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申请材料：</w:t>
      </w:r>
      <w:r>
        <w:rPr>
          <w:rFonts w:hint="default" w:ascii="Times New Roman" w:hAnsi="Times New Roman" w:eastAsia="国标仿宋-GB/T 2312" w:cs="Times New Roman"/>
          <w:color w:val="auto"/>
          <w:spacing w:val="0"/>
          <w:sz w:val="32"/>
          <w:szCs w:val="32"/>
          <w:u w:val="none"/>
          <w:lang w:val="en-US" w:eastAsia="zh-CN"/>
        </w:rPr>
        <w:t>无。</w:t>
      </w:r>
    </w:p>
    <w:p w14:paraId="6B365E4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楷体-GB/T 2312" w:cs="Times New Roman"/>
          <w:b w:val="0"/>
          <w:bCs w:val="0"/>
          <w:color w:val="auto"/>
          <w:spacing w:val="0"/>
          <w:sz w:val="32"/>
          <w:szCs w:val="32"/>
          <w:u w:val="none"/>
          <w:lang w:eastAsia="zh-CN"/>
        </w:rPr>
      </w:pPr>
      <w:r>
        <w:rPr>
          <w:rFonts w:hint="default" w:ascii="Times New Roman" w:hAnsi="Times New Roman" w:eastAsia="国标楷体-GB/T 2312" w:cs="Times New Roman"/>
          <w:b w:val="0"/>
          <w:bCs w:val="0"/>
          <w:color w:val="auto"/>
          <w:spacing w:val="0"/>
          <w:sz w:val="32"/>
          <w:szCs w:val="32"/>
          <w:u w:val="none"/>
          <w:lang w:eastAsia="zh-CN"/>
        </w:rPr>
        <w:t>（十三）自主就业退役士兵一次性</w:t>
      </w:r>
      <w:r>
        <w:rPr>
          <w:rFonts w:hint="eastAsia" w:ascii="Times New Roman" w:hAnsi="Times New Roman" w:eastAsia="国标楷体-GB/T 2312" w:cs="Times New Roman"/>
          <w:b w:val="0"/>
          <w:bCs w:val="0"/>
          <w:color w:val="auto"/>
          <w:spacing w:val="0"/>
          <w:sz w:val="32"/>
          <w:szCs w:val="32"/>
          <w:u w:val="none"/>
          <w:lang w:eastAsia="zh-CN"/>
        </w:rPr>
        <w:t>经济</w:t>
      </w:r>
      <w:r>
        <w:rPr>
          <w:rFonts w:hint="default" w:ascii="Times New Roman" w:hAnsi="Times New Roman" w:eastAsia="国标楷体-GB/T 2312" w:cs="Times New Roman"/>
          <w:b w:val="0"/>
          <w:bCs w:val="0"/>
          <w:color w:val="auto"/>
          <w:spacing w:val="0"/>
          <w:sz w:val="32"/>
          <w:szCs w:val="32"/>
          <w:u w:val="none"/>
          <w:lang w:eastAsia="zh-CN"/>
        </w:rPr>
        <w:t>补助的发放。</w:t>
      </w:r>
    </w:p>
    <w:p w14:paraId="443D1928">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行政给付。</w:t>
      </w:r>
    </w:p>
    <w:p w14:paraId="74C32EA2">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1E338BBB">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1.《退役军人安置条例》</w:t>
      </w:r>
      <w:r>
        <w:rPr>
          <w:rFonts w:hint="default" w:ascii="Times New Roman" w:hAnsi="Times New Roman" w:eastAsia="国标仿宋-GB/T 2312" w:cs="Times New Roman"/>
          <w:color w:val="auto"/>
          <w:spacing w:val="0"/>
          <w:sz w:val="32"/>
          <w:szCs w:val="32"/>
          <w:u w:val="none"/>
          <w:lang w:eastAsia="zh-CN"/>
        </w:rPr>
        <w:t>第二十三条 对自主就业的退役军士和义务兵，地方人民政府可以根据当地实际情况给予一次性经济补助，补助标准及发放办法由省、自治区、直辖市人民政府制定。</w:t>
      </w:r>
    </w:p>
    <w:p w14:paraId="75C35F04">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关于进一步加强由政府安排工作退役士兵就业安置工作的意见》第二条第二款：3.允许灵活就业。选择由政府安排工作的退役士兵回到地方后又放弃安排工作待遇的，经本人申请确认后，由安置地人民政府按照其在部队选择自主就业应领取的一次性退役金和地方一次性经济补助金之和的80％，发给一次性就业补助金，同时按规定享受扶持退役军人就业创业的各项优惠政策。</w:t>
      </w:r>
    </w:p>
    <w:p w14:paraId="4F0090EB">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w:t>
      </w:r>
      <w:r>
        <w:rPr>
          <w:rFonts w:hint="default" w:ascii="Times New Roman" w:hAnsi="Times New Roman" w:eastAsia="国标仿宋-GB/T 2312" w:cs="Times New Roman"/>
          <w:color w:val="auto"/>
          <w:spacing w:val="0"/>
          <w:sz w:val="32"/>
          <w:szCs w:val="32"/>
          <w:u w:val="none"/>
          <w:lang w:eastAsia="zh-CN"/>
        </w:rPr>
        <w:t>西藏自治区〈退役士兵安置条例〉实施细则</w:t>
      </w:r>
      <w:r>
        <w:rPr>
          <w:rFonts w:hint="default" w:ascii="Times New Roman" w:hAnsi="Times New Roman" w:eastAsia="国标仿宋-GB/T 2312" w:cs="Times New Roman"/>
          <w:color w:val="auto"/>
          <w:spacing w:val="0"/>
          <w:sz w:val="32"/>
          <w:szCs w:val="32"/>
          <w:u w:val="none"/>
          <w:lang w:val="en-US" w:eastAsia="zh-CN"/>
        </w:rPr>
        <w:t>》</w:t>
      </w:r>
      <w:r>
        <w:rPr>
          <w:rFonts w:hint="default" w:ascii="Times New Roman" w:hAnsi="Times New Roman" w:eastAsia="国标仿宋-GB/T 2312" w:cs="Times New Roman"/>
          <w:color w:val="auto"/>
          <w:spacing w:val="0"/>
          <w:sz w:val="32"/>
          <w:szCs w:val="32"/>
          <w:u w:val="none"/>
          <w:lang w:eastAsia="zh-CN"/>
        </w:rPr>
        <w:t>第二十三条 两年义务兵退出现役后自主就业的给予一次性经济补助金50000元，自主就业退出现役士官每超期服役一年增加10000元，最高服役满11年的士兵可领取一次性经济补助金14万元。义务兵家属优待金和自主就业一次性经济补助由各级人民政府承担并纳入同级财政年度预算。</w:t>
      </w:r>
    </w:p>
    <w:p w14:paraId="38171062">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条件：</w:t>
      </w:r>
    </w:p>
    <w:p w14:paraId="7C0B22C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西藏籍选择自主就业的退役军士和义务兵。</w:t>
      </w:r>
    </w:p>
    <w:p w14:paraId="44FCCCBC">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72CB9AAD">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eastAsia" w:ascii="Times New Roman" w:hAnsi="Times New Roman" w:eastAsia="国标仿宋-GB/T 2312" w:cs="Times New Roman"/>
          <w:color w:val="auto"/>
          <w:spacing w:val="0"/>
          <w:sz w:val="32"/>
          <w:szCs w:val="32"/>
          <w:u w:val="none"/>
          <w:lang w:val="en-US" w:eastAsia="zh-CN"/>
        </w:rPr>
        <w:t>1</w:t>
      </w:r>
      <w:r>
        <w:rPr>
          <w:rFonts w:hint="default" w:ascii="Times New Roman" w:hAnsi="Times New Roman" w:eastAsia="国标仿宋-GB/T 2312" w:cs="Times New Roman"/>
          <w:color w:val="auto"/>
          <w:spacing w:val="0"/>
          <w:sz w:val="32"/>
          <w:szCs w:val="32"/>
          <w:u w:val="none"/>
          <w:lang w:val="en-US" w:eastAsia="zh-CN"/>
        </w:rPr>
        <w:t>.</w:t>
      </w:r>
      <w:r>
        <w:rPr>
          <w:rFonts w:hint="eastAsia" w:ascii="Times New Roman" w:hAnsi="Times New Roman" w:eastAsia="国标仿宋-GB/T 2312" w:cs="Times New Roman"/>
          <w:color w:val="auto"/>
          <w:spacing w:val="0"/>
          <w:sz w:val="32"/>
          <w:szCs w:val="32"/>
          <w:u w:val="none"/>
          <w:lang w:val="en-US" w:eastAsia="zh-CN"/>
        </w:rPr>
        <w:t>选择自主就业的退役军士和义务兵结合参军服务情况向所在层级</w:t>
      </w:r>
      <w:r>
        <w:rPr>
          <w:rFonts w:hint="default" w:ascii="Times New Roman" w:hAnsi="Times New Roman" w:eastAsia="国标仿宋-GB/T 2312" w:cs="Times New Roman"/>
          <w:color w:val="auto"/>
          <w:spacing w:val="0"/>
          <w:sz w:val="32"/>
          <w:szCs w:val="32"/>
          <w:u w:val="none"/>
          <w:lang w:val="en-US" w:eastAsia="zh-CN"/>
        </w:rPr>
        <w:t>人民政府</w:t>
      </w:r>
      <w:r>
        <w:rPr>
          <w:rFonts w:hint="eastAsia" w:ascii="Times New Roman" w:hAnsi="Times New Roman" w:eastAsia="国标仿宋-GB/T 2312" w:cs="Times New Roman"/>
          <w:color w:val="auto"/>
          <w:spacing w:val="0"/>
          <w:sz w:val="32"/>
          <w:szCs w:val="32"/>
          <w:u w:val="none"/>
          <w:lang w:val="en-US" w:eastAsia="zh-CN"/>
        </w:rPr>
        <w:t>退役军人工作主管部门</w:t>
      </w:r>
      <w:r>
        <w:rPr>
          <w:rFonts w:hint="default" w:ascii="Times New Roman" w:hAnsi="Times New Roman" w:eastAsia="国标仿宋-GB/T 2312" w:cs="Times New Roman"/>
          <w:color w:val="auto"/>
          <w:spacing w:val="0"/>
          <w:sz w:val="32"/>
          <w:szCs w:val="32"/>
          <w:u w:val="none"/>
          <w:lang w:val="en-US" w:eastAsia="zh-CN"/>
        </w:rPr>
        <w:t>提出申请；</w:t>
      </w:r>
    </w:p>
    <w:p w14:paraId="7A256B4F">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w:t>
      </w:r>
      <w:r>
        <w:rPr>
          <w:rFonts w:hint="eastAsia" w:ascii="Times New Roman" w:hAnsi="Times New Roman" w:eastAsia="国标仿宋-GB/T 2312" w:cs="Times New Roman"/>
          <w:color w:val="auto"/>
          <w:spacing w:val="0"/>
          <w:sz w:val="32"/>
          <w:szCs w:val="32"/>
          <w:u w:val="none"/>
          <w:lang w:val="en-US" w:eastAsia="zh-CN"/>
        </w:rPr>
        <w:t>退役军人工作主管部门根据其档案材料和个人申请进行</w:t>
      </w:r>
      <w:r>
        <w:rPr>
          <w:rFonts w:hint="default" w:ascii="Times New Roman" w:hAnsi="Times New Roman" w:eastAsia="国标仿宋-GB/T 2312" w:cs="Times New Roman"/>
          <w:color w:val="auto"/>
          <w:spacing w:val="0"/>
          <w:sz w:val="32"/>
          <w:szCs w:val="32"/>
          <w:u w:val="none"/>
          <w:lang w:val="en-US" w:eastAsia="zh-CN"/>
        </w:rPr>
        <w:t>审核；</w:t>
      </w:r>
    </w:p>
    <w:p w14:paraId="15036390">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w:t>
      </w:r>
      <w:r>
        <w:rPr>
          <w:rFonts w:hint="eastAsia" w:ascii="Times New Roman" w:hAnsi="Times New Roman" w:eastAsia="国标仿宋-GB/T 2312" w:cs="Times New Roman"/>
          <w:color w:val="auto"/>
          <w:spacing w:val="0"/>
          <w:sz w:val="32"/>
          <w:szCs w:val="32"/>
          <w:u w:val="none"/>
          <w:lang w:val="en-US" w:eastAsia="zh-CN"/>
        </w:rPr>
        <w:t>同</w:t>
      </w:r>
      <w:r>
        <w:rPr>
          <w:rFonts w:hint="default" w:ascii="Times New Roman" w:hAnsi="Times New Roman" w:eastAsia="国标仿宋-GB/T 2312" w:cs="Times New Roman"/>
          <w:color w:val="auto"/>
          <w:spacing w:val="0"/>
          <w:sz w:val="32"/>
          <w:szCs w:val="32"/>
          <w:u w:val="none"/>
          <w:lang w:val="en-US" w:eastAsia="zh-CN"/>
        </w:rPr>
        <w:t>级财政部门审核、拨付资金；</w:t>
      </w:r>
    </w:p>
    <w:p w14:paraId="6B7FB772">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4.代发金融机构将资金发放到</w:t>
      </w:r>
      <w:r>
        <w:rPr>
          <w:rFonts w:hint="eastAsia" w:ascii="Times New Roman" w:hAnsi="Times New Roman" w:eastAsia="国标仿宋-GB/T 2312" w:cs="Times New Roman"/>
          <w:color w:val="auto"/>
          <w:spacing w:val="0"/>
          <w:sz w:val="32"/>
          <w:szCs w:val="32"/>
          <w:u w:val="none"/>
          <w:lang w:val="en-US" w:eastAsia="zh-CN"/>
        </w:rPr>
        <w:t>选择自主就业的退役军士和义务兵</w:t>
      </w:r>
      <w:r>
        <w:rPr>
          <w:rFonts w:hint="default" w:ascii="Times New Roman" w:hAnsi="Times New Roman" w:eastAsia="国标仿宋-GB/T 2312" w:cs="Times New Roman"/>
          <w:color w:val="auto"/>
          <w:spacing w:val="0"/>
          <w:sz w:val="32"/>
          <w:szCs w:val="32"/>
          <w:u w:val="none"/>
          <w:lang w:val="en-US" w:eastAsia="zh-CN"/>
        </w:rPr>
        <w:t>个人指定账户。</w:t>
      </w:r>
    </w:p>
    <w:p w14:paraId="3A210ABF">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办理时限：</w:t>
      </w:r>
      <w:r>
        <w:rPr>
          <w:rFonts w:hint="eastAsia" w:ascii="Times New Roman" w:hAnsi="Times New Roman" w:eastAsia="国标仿宋-GB/T 2312" w:cs="Times New Roman"/>
          <w:color w:val="auto"/>
          <w:spacing w:val="0"/>
          <w:sz w:val="32"/>
          <w:szCs w:val="32"/>
          <w:u w:val="none"/>
          <w:lang w:val="en-US" w:eastAsia="zh-CN"/>
        </w:rPr>
        <w:t>同</w:t>
      </w:r>
      <w:r>
        <w:rPr>
          <w:rFonts w:hint="default" w:ascii="Times New Roman" w:hAnsi="Times New Roman" w:eastAsia="国标仿宋-GB/T 2312" w:cs="Times New Roman"/>
          <w:color w:val="auto"/>
          <w:spacing w:val="0"/>
          <w:sz w:val="32"/>
          <w:szCs w:val="32"/>
          <w:u w:val="none"/>
          <w:lang w:val="en-US" w:eastAsia="zh-CN"/>
        </w:rPr>
        <w:t>级财政部门审核、拨付资金之日起60个工作日内发放。</w:t>
      </w:r>
    </w:p>
    <w:p w14:paraId="728193F6">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申请材料：</w:t>
      </w:r>
    </w:p>
    <w:p w14:paraId="2B22093E">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w:t>
      </w:r>
      <w:r>
        <w:rPr>
          <w:rFonts w:hint="eastAsia" w:ascii="Times New Roman" w:hAnsi="Times New Roman" w:eastAsia="国标仿宋-GB/T 2312" w:cs="Times New Roman"/>
          <w:color w:val="auto"/>
          <w:spacing w:val="0"/>
          <w:sz w:val="32"/>
          <w:szCs w:val="32"/>
          <w:u w:val="none"/>
          <w:lang w:val="en-US" w:eastAsia="zh-CN"/>
        </w:rPr>
        <w:t>入伍证明材料</w:t>
      </w:r>
      <w:r>
        <w:rPr>
          <w:rFonts w:hint="default" w:ascii="Times New Roman" w:hAnsi="Times New Roman" w:eastAsia="国标仿宋-GB/T 2312" w:cs="Times New Roman"/>
          <w:color w:val="auto"/>
          <w:spacing w:val="0"/>
          <w:sz w:val="32"/>
          <w:szCs w:val="32"/>
          <w:u w:val="none"/>
          <w:lang w:val="en-US" w:eastAsia="zh-CN"/>
        </w:rPr>
        <w:t>；</w:t>
      </w:r>
    </w:p>
    <w:p w14:paraId="551638E4">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w:t>
      </w:r>
      <w:r>
        <w:rPr>
          <w:rFonts w:hint="eastAsia" w:ascii="Times New Roman" w:hAnsi="Times New Roman" w:eastAsia="国标仿宋-GB/T 2312" w:cs="Times New Roman"/>
          <w:color w:val="auto"/>
          <w:spacing w:val="0"/>
          <w:sz w:val="32"/>
          <w:szCs w:val="32"/>
          <w:u w:val="none"/>
          <w:lang w:val="en-US" w:eastAsia="zh-CN"/>
        </w:rPr>
        <w:t>退役相关材料</w:t>
      </w:r>
      <w:r>
        <w:rPr>
          <w:rFonts w:hint="default" w:ascii="Times New Roman" w:hAnsi="Times New Roman" w:eastAsia="国标仿宋-GB/T 2312" w:cs="Times New Roman"/>
          <w:color w:val="auto"/>
          <w:spacing w:val="0"/>
          <w:sz w:val="32"/>
          <w:szCs w:val="32"/>
          <w:u w:val="none"/>
          <w:lang w:val="en-US" w:eastAsia="zh-CN"/>
        </w:rPr>
        <w:t>；</w:t>
      </w:r>
    </w:p>
    <w:p w14:paraId="40DF2F81">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w:t>
      </w:r>
      <w:r>
        <w:rPr>
          <w:rFonts w:hint="eastAsia" w:ascii="Times New Roman" w:hAnsi="Times New Roman" w:eastAsia="国标仿宋-GB/T 2312" w:cs="Times New Roman"/>
          <w:color w:val="auto"/>
          <w:spacing w:val="0"/>
          <w:sz w:val="32"/>
          <w:szCs w:val="32"/>
          <w:u w:val="none"/>
          <w:lang w:val="en-US" w:eastAsia="zh-CN"/>
        </w:rPr>
        <w:t>经申请人确认的</w:t>
      </w:r>
      <w:r>
        <w:rPr>
          <w:rFonts w:hint="default" w:ascii="Times New Roman" w:hAnsi="Times New Roman" w:eastAsia="国标仿宋-GB/T 2312" w:cs="Times New Roman"/>
          <w:color w:val="auto"/>
          <w:spacing w:val="0"/>
          <w:sz w:val="32"/>
          <w:szCs w:val="32"/>
          <w:u w:val="none"/>
          <w:lang w:val="en-US" w:eastAsia="zh-CN"/>
        </w:rPr>
        <w:t>银行卡</w:t>
      </w:r>
      <w:r>
        <w:rPr>
          <w:rFonts w:hint="eastAsia" w:ascii="Times New Roman" w:hAnsi="Times New Roman" w:eastAsia="国标仿宋-GB/T 2312" w:cs="Times New Roman"/>
          <w:color w:val="auto"/>
          <w:spacing w:val="0"/>
          <w:sz w:val="32"/>
          <w:szCs w:val="32"/>
          <w:u w:val="none"/>
          <w:lang w:val="en-US" w:eastAsia="zh-CN"/>
        </w:rPr>
        <w:t>、</w:t>
      </w:r>
      <w:r>
        <w:rPr>
          <w:rFonts w:hint="default" w:ascii="Times New Roman" w:hAnsi="Times New Roman" w:eastAsia="国标仿宋-GB/T 2312" w:cs="Times New Roman"/>
          <w:color w:val="auto"/>
          <w:spacing w:val="0"/>
          <w:sz w:val="32"/>
          <w:szCs w:val="32"/>
          <w:u w:val="none"/>
          <w:lang w:val="en-US" w:eastAsia="zh-CN"/>
        </w:rPr>
        <w:t>存折账户</w:t>
      </w:r>
      <w:r>
        <w:rPr>
          <w:rFonts w:hint="eastAsia" w:ascii="Times New Roman" w:hAnsi="Times New Roman" w:eastAsia="国标仿宋-GB/T 2312" w:cs="Times New Roman"/>
          <w:color w:val="auto"/>
          <w:spacing w:val="0"/>
          <w:sz w:val="32"/>
          <w:szCs w:val="32"/>
          <w:u w:val="none"/>
          <w:lang w:val="en-US" w:eastAsia="zh-CN"/>
        </w:rPr>
        <w:t>等合法银行账户</w:t>
      </w:r>
      <w:r>
        <w:rPr>
          <w:rFonts w:hint="default" w:ascii="Times New Roman" w:hAnsi="Times New Roman" w:eastAsia="国标仿宋-GB/T 2312" w:cs="Times New Roman"/>
          <w:color w:val="auto"/>
          <w:spacing w:val="0"/>
          <w:sz w:val="32"/>
          <w:szCs w:val="32"/>
          <w:u w:val="none"/>
          <w:lang w:val="en-US" w:eastAsia="zh-CN"/>
        </w:rPr>
        <w:t>信息。</w:t>
      </w:r>
    </w:p>
    <w:p w14:paraId="5C7EB13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方正楷体简体" w:cs="Times New Roman"/>
          <w:b w:val="0"/>
          <w:bCs w:val="0"/>
          <w:color w:val="auto"/>
          <w:spacing w:val="0"/>
          <w:sz w:val="32"/>
          <w:szCs w:val="32"/>
          <w:u w:val="none"/>
          <w:lang w:eastAsia="zh-CN"/>
        </w:rPr>
      </w:pPr>
      <w:r>
        <w:rPr>
          <w:rFonts w:hint="default" w:ascii="Times New Roman" w:hAnsi="Times New Roman" w:eastAsia="方正楷体简体" w:cs="Times New Roman"/>
          <w:b w:val="0"/>
          <w:bCs w:val="0"/>
          <w:color w:val="auto"/>
          <w:spacing w:val="0"/>
          <w:sz w:val="32"/>
          <w:szCs w:val="32"/>
          <w:u w:val="none"/>
          <w:lang w:eastAsia="zh-CN"/>
        </w:rPr>
        <w:t>（十四）退役军士和义务兵待安排工作期间生活补助费的发放。</w:t>
      </w:r>
    </w:p>
    <w:p w14:paraId="6EE98F78">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行政给付。</w:t>
      </w:r>
    </w:p>
    <w:p w14:paraId="5CB70FFC">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6619F3C2">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kern w:val="2"/>
          <w:sz w:val="32"/>
          <w:szCs w:val="32"/>
          <w:u w:val="none"/>
          <w:lang w:val="en-US" w:eastAsia="zh-CN" w:bidi="ar-SA"/>
        </w:rPr>
      </w:pPr>
      <w:r>
        <w:rPr>
          <w:rFonts w:hint="default" w:ascii="Times New Roman" w:hAnsi="Times New Roman" w:eastAsia="国标仿宋-GB/T 2312" w:cs="Times New Roman"/>
          <w:color w:val="auto"/>
          <w:spacing w:val="0"/>
          <w:sz w:val="32"/>
          <w:szCs w:val="32"/>
          <w:u w:val="none"/>
          <w:lang w:val="en-US" w:eastAsia="zh-CN"/>
        </w:rPr>
        <w:t>1.《中华人民共和国兵役法》</w:t>
      </w:r>
      <w:r>
        <w:rPr>
          <w:rFonts w:hint="default" w:ascii="Times New Roman" w:hAnsi="Times New Roman" w:eastAsia="国标仿宋-GB/T 2312" w:cs="Times New Roman"/>
          <w:color w:val="auto"/>
          <w:spacing w:val="0"/>
          <w:sz w:val="32"/>
          <w:szCs w:val="32"/>
          <w:u w:val="none"/>
          <w:lang w:eastAsia="zh-CN"/>
        </w:rPr>
        <w:t xml:space="preserve">第五十三条第三款 </w:t>
      </w:r>
      <w:r>
        <w:rPr>
          <w:rFonts w:hint="default" w:ascii="Times New Roman" w:hAnsi="Times New Roman" w:eastAsia="国标仿宋-GB/T 2312" w:cs="Times New Roman"/>
          <w:color w:val="auto"/>
          <w:spacing w:val="0"/>
          <w:sz w:val="32"/>
          <w:szCs w:val="32"/>
          <w:u w:val="none"/>
          <w:lang w:val="en-US" w:eastAsia="zh-CN"/>
        </w:rPr>
        <w:t>服现役期间平时获得二等功以上荣誉或者战时获得三等功以上荣誉以及属于烈士子女的义务兵退出现役，由安置地的县级以上地方人民政府安排工作；待安排工作期间由当地人民政府按照国家有关规定发给生活补助费；根据本人自愿，也可以选择自主就业。</w:t>
      </w:r>
    </w:p>
    <w:p w14:paraId="44D5F3CC">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sz w:val="32"/>
          <w:lang w:eastAsia="zh-CN"/>
        </w:rPr>
        <w:t>第五十四条第三款</w:t>
      </w:r>
      <w:r>
        <w:rPr>
          <w:rFonts w:hint="default" w:ascii="Times New Roman" w:hAnsi="Times New Roman" w:eastAsia="国标仿宋-GB/T 2312" w:cs="Times New Roman"/>
          <w:sz w:val="32"/>
          <w:lang w:val="en-US" w:eastAsia="zh-CN"/>
        </w:rPr>
        <w:t xml:space="preserve"> </w:t>
      </w:r>
      <w:r>
        <w:rPr>
          <w:rFonts w:hint="default" w:ascii="Times New Roman" w:hAnsi="Times New Roman" w:eastAsia="国标仿宋-GB/T 2312" w:cs="Times New Roman"/>
          <w:sz w:val="32"/>
        </w:rPr>
        <w:t>军士退出现役，服现役满十二年或者符合国家规定的其他条件的，由安置地的县级以上地方人民政府安排工作；待安排工作期间由当地人民政府按照国家有关</w:t>
      </w:r>
      <w:r>
        <w:rPr>
          <w:rFonts w:hint="default" w:ascii="Times New Roman" w:hAnsi="Times New Roman" w:eastAsia="国标仿宋-GB/T 2312" w:cs="Times New Roman"/>
          <w:color w:val="auto"/>
          <w:spacing w:val="0"/>
          <w:sz w:val="32"/>
          <w:szCs w:val="32"/>
          <w:u w:val="none"/>
          <w:lang w:val="en-US" w:eastAsia="zh-CN"/>
        </w:rPr>
        <w:t>规定发给生活补助费；根据本人自愿，也可以选择自主就业。</w:t>
      </w:r>
    </w:p>
    <w:p w14:paraId="1FE9B911">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2.《退役军人安置条例》第七十五条</w:t>
      </w:r>
      <w:r>
        <w:rPr>
          <w:rFonts w:hint="default" w:ascii="Times New Roman" w:hAnsi="Times New Roman" w:eastAsia="国标仿宋-GB/T 2312" w:cs="Times New Roman"/>
          <w:color w:val="auto"/>
          <w:spacing w:val="0"/>
          <w:sz w:val="32"/>
          <w:szCs w:val="32"/>
          <w:u w:val="none"/>
          <w:lang w:val="en" w:eastAsia="zh-CN"/>
        </w:rPr>
        <w:t xml:space="preserve"> </w:t>
      </w:r>
      <w:r>
        <w:rPr>
          <w:rFonts w:hint="default" w:ascii="Times New Roman" w:hAnsi="Times New Roman" w:eastAsia="国标仿宋-GB/T 2312" w:cs="Times New Roman"/>
          <w:color w:val="auto"/>
          <w:spacing w:val="0"/>
          <w:sz w:val="32"/>
          <w:szCs w:val="32"/>
          <w:u w:val="none"/>
          <w:lang w:val="en-US" w:eastAsia="zh-CN"/>
        </w:rPr>
        <w:t>安排工作的退役军士和义务兵待安排工作期间，安置地人民政府应当按照当地月最低工资标准逐月发放生活补助。</w:t>
      </w:r>
    </w:p>
    <w:p w14:paraId="582923DB">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接收安置单位应当在安排工作介绍信开具30日内，安排退役军士和义务兵上岗。非因退役军士和义务兵本人原因，接收安置单位未按照规定安排上岗的，应当从介绍信开具当月起，按照不低于本单位同等条件人员平均工资80%的标准，逐月发放生活费直至上岗为止。</w:t>
      </w:r>
    </w:p>
    <w:p w14:paraId="08B383F9">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3.《关于进一步加强由政府安排工作退役士兵就业安置工作的意见》第三条第三款：退役士兵待安排工作期间，安置地人民政府应当按照上年度最低工资标准逐月发放生活补助。</w:t>
      </w:r>
    </w:p>
    <w:p w14:paraId="420FF31B">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lang w:val="en-US" w:eastAsia="zh-CN"/>
        </w:rPr>
        <w:t>条件：</w:t>
      </w:r>
    </w:p>
    <w:p w14:paraId="4E80B0D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西藏籍选择安排工作的退役军士和义务兵。</w:t>
      </w:r>
    </w:p>
    <w:p w14:paraId="5F03C5AE">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7000ADC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1.退役军人工作主管部门根据其退役档案材料和个人安排工作情况进行审核；</w:t>
      </w:r>
    </w:p>
    <w:p w14:paraId="2860BAE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w:t>
      </w:r>
      <w:r>
        <w:rPr>
          <w:rFonts w:hint="eastAsia" w:ascii="Times New Roman" w:hAnsi="Times New Roman" w:eastAsia="国标仿宋-GB/T 2312" w:cs="Times New Roman"/>
          <w:color w:val="auto"/>
          <w:spacing w:val="0"/>
          <w:sz w:val="32"/>
          <w:szCs w:val="32"/>
          <w:u w:val="none"/>
          <w:lang w:val="en-US" w:eastAsia="zh-CN"/>
        </w:rPr>
        <w:t>同</w:t>
      </w:r>
      <w:r>
        <w:rPr>
          <w:rFonts w:hint="default" w:ascii="Times New Roman" w:hAnsi="Times New Roman" w:eastAsia="国标仿宋-GB/T 2312" w:cs="Times New Roman"/>
          <w:color w:val="auto"/>
          <w:spacing w:val="0"/>
          <w:sz w:val="32"/>
          <w:szCs w:val="32"/>
          <w:u w:val="none"/>
          <w:lang w:val="en-US" w:eastAsia="zh-CN"/>
        </w:rPr>
        <w:t>级财政部门审核、拨付资金；</w:t>
      </w:r>
    </w:p>
    <w:p w14:paraId="298E6C0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3.代发金融机构将资金发放到选择安排工作的退役军士和义务兵个人指定账户。</w:t>
      </w:r>
    </w:p>
    <w:p w14:paraId="71CC1F1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lang w:val="en-US" w:eastAsia="zh-CN"/>
        </w:rPr>
        <w:t>办理时限：</w:t>
      </w:r>
      <w:r>
        <w:rPr>
          <w:rFonts w:hint="eastAsia" w:ascii="Times New Roman" w:hAnsi="Times New Roman" w:eastAsia="国标仿宋-GB/T 2312" w:cs="Times New Roman"/>
          <w:color w:val="auto"/>
          <w:spacing w:val="0"/>
          <w:sz w:val="32"/>
          <w:szCs w:val="32"/>
          <w:u w:val="none"/>
          <w:lang w:val="en-US" w:eastAsia="zh-CN"/>
        </w:rPr>
        <w:t>同级财政部门审核、拨付资金自日</w:t>
      </w:r>
      <w:r>
        <w:rPr>
          <w:rFonts w:hint="default" w:ascii="Times New Roman" w:hAnsi="Times New Roman" w:eastAsia="国标仿宋-GB/T 2312" w:cs="Times New Roman"/>
          <w:color w:val="auto"/>
          <w:spacing w:val="0"/>
          <w:sz w:val="32"/>
          <w:szCs w:val="32"/>
          <w:u w:val="none"/>
          <w:lang w:val="en-US" w:eastAsia="zh-CN"/>
        </w:rPr>
        <w:t>起60个工作日内发放。</w:t>
      </w:r>
    </w:p>
    <w:p w14:paraId="5B56EE97">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申请材料：</w:t>
      </w:r>
    </w:p>
    <w:p w14:paraId="121048E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经申请人确认的银行卡、存折账户等合法银行账户信息。</w:t>
      </w:r>
    </w:p>
    <w:p w14:paraId="6DE3BC3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楷体-GB/T 2312" w:cs="Times New Roman"/>
          <w:b w:val="0"/>
          <w:bCs w:val="0"/>
          <w:color w:val="auto"/>
          <w:spacing w:val="0"/>
          <w:sz w:val="32"/>
          <w:szCs w:val="32"/>
          <w:u w:val="none"/>
          <w:lang w:eastAsia="zh-CN"/>
        </w:rPr>
      </w:pPr>
      <w:r>
        <w:rPr>
          <w:rFonts w:hint="default" w:ascii="Times New Roman" w:hAnsi="Times New Roman" w:eastAsia="国标楷体-GB/T 2312" w:cs="Times New Roman"/>
          <w:b w:val="0"/>
          <w:bCs w:val="0"/>
          <w:color w:val="auto"/>
          <w:spacing w:val="0"/>
          <w:sz w:val="32"/>
          <w:szCs w:val="32"/>
          <w:u w:val="none"/>
          <w:lang w:eastAsia="zh-CN"/>
        </w:rPr>
        <w:t>（十五）中国人民武装警察部队、军队离休、退休干部和退休士官的抚恤优待给付。</w:t>
      </w:r>
    </w:p>
    <w:p w14:paraId="588BC4BE">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行政给付。</w:t>
      </w:r>
    </w:p>
    <w:p w14:paraId="4F3C31EF">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3694C14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1.《中华人民共和国军人地位和权益保障法》第六十九条 中国人民武装警察部队服现役的警官、警士和义务兵等人员，适用本法。</w:t>
      </w:r>
    </w:p>
    <w:p w14:paraId="4825A9D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2.《军人抚恤优待条例》第六十条 本条例适用于中国人民武装警察部队。</w:t>
      </w:r>
    </w:p>
    <w:p w14:paraId="7BE8A8A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六十一条 军队离休退休干部和退休军士的抚恤优待，按照本条例有关军人抚恤优待的规定执行。参试退役军人参照本条例有关参战退役军人的规定执行。因参战以及参加非战争军事行动、军事训练和执行军事勤务伤亡的预备役人员、民兵、民工、其他人员的抚恤，参照本条例的有关规定办理。</w:t>
      </w:r>
    </w:p>
    <w:p w14:paraId="3A1C602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lang w:val="en-US" w:eastAsia="zh-CN"/>
        </w:rPr>
        <w:t>条件：</w:t>
      </w:r>
    </w:p>
    <w:p w14:paraId="3E811C2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中国人民武装警察部队、军队离休、退休干部和退休士官。</w:t>
      </w:r>
    </w:p>
    <w:p w14:paraId="42CC8A19">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4FEE9DF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1.中国人民武装警察部队、军队离休、退休干部和退休士官本人或家属向安置地退役军人工作主管部门提出申请和相关证明材料；</w:t>
      </w:r>
    </w:p>
    <w:p w14:paraId="3FB418F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w:t>
      </w:r>
      <w:r>
        <w:rPr>
          <w:rFonts w:hint="eastAsia" w:ascii="Times New Roman" w:hAnsi="Times New Roman" w:eastAsia="国标仿宋-GB/T 2312" w:cs="Times New Roman"/>
          <w:color w:val="auto"/>
          <w:spacing w:val="0"/>
          <w:sz w:val="32"/>
          <w:szCs w:val="32"/>
          <w:u w:val="none"/>
          <w:lang w:val="en-US" w:eastAsia="zh-CN"/>
        </w:rPr>
        <w:t>省</w:t>
      </w:r>
      <w:r>
        <w:rPr>
          <w:rFonts w:hint="default" w:ascii="Times New Roman" w:hAnsi="Times New Roman" w:eastAsia="国标仿宋-GB/T 2312" w:cs="Times New Roman"/>
          <w:color w:val="auto"/>
          <w:spacing w:val="0"/>
          <w:sz w:val="32"/>
          <w:szCs w:val="32"/>
          <w:u w:val="none"/>
          <w:lang w:val="en-US" w:eastAsia="zh-CN"/>
        </w:rPr>
        <w:t>级退役军人工作主管部门审核；</w:t>
      </w:r>
    </w:p>
    <w:p w14:paraId="67DE2E2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w:t>
      </w:r>
      <w:r>
        <w:rPr>
          <w:rFonts w:hint="eastAsia" w:ascii="Times New Roman" w:hAnsi="Times New Roman" w:eastAsia="国标仿宋-GB/T 2312" w:cs="Times New Roman"/>
          <w:color w:val="auto"/>
          <w:spacing w:val="0"/>
          <w:sz w:val="32"/>
          <w:szCs w:val="32"/>
          <w:u w:val="none"/>
          <w:lang w:val="en-US" w:eastAsia="zh-CN"/>
        </w:rPr>
        <w:t>同</w:t>
      </w:r>
      <w:r>
        <w:rPr>
          <w:rFonts w:hint="default" w:ascii="Times New Roman" w:hAnsi="Times New Roman" w:eastAsia="国标仿宋-GB/T 2312" w:cs="Times New Roman"/>
          <w:color w:val="auto"/>
          <w:spacing w:val="0"/>
          <w:sz w:val="32"/>
          <w:szCs w:val="32"/>
          <w:u w:val="none"/>
          <w:lang w:val="en-US" w:eastAsia="zh-CN"/>
        </w:rPr>
        <w:t>级财政部门审核、拨付资金；</w:t>
      </w:r>
    </w:p>
    <w:p w14:paraId="6DFBA17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4.代发金融机构将资金发放到本人或家属指定账户。</w:t>
      </w:r>
    </w:p>
    <w:p w14:paraId="345BF48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lang w:val="en-US" w:eastAsia="zh-CN"/>
        </w:rPr>
        <w:t>办理时限：</w:t>
      </w:r>
      <w:r>
        <w:rPr>
          <w:rFonts w:hint="eastAsia" w:ascii="Times New Roman" w:hAnsi="Times New Roman" w:eastAsia="国标仿宋-GB/T 2312" w:cs="Times New Roman"/>
          <w:color w:val="auto"/>
          <w:spacing w:val="0"/>
          <w:sz w:val="32"/>
          <w:szCs w:val="32"/>
          <w:u w:val="none"/>
          <w:lang w:val="en-US" w:eastAsia="zh-CN"/>
        </w:rPr>
        <w:t>同级</w:t>
      </w:r>
      <w:r>
        <w:rPr>
          <w:rFonts w:hint="default" w:ascii="Times New Roman" w:hAnsi="Times New Roman" w:eastAsia="国标仿宋-GB/T 2312" w:cs="Times New Roman"/>
          <w:color w:val="auto"/>
          <w:spacing w:val="0"/>
          <w:sz w:val="32"/>
          <w:szCs w:val="32"/>
          <w:u w:val="none"/>
          <w:lang w:val="en-US" w:eastAsia="zh-CN"/>
        </w:rPr>
        <w:t>财政部门审核、拨付资金之日起60个工作日内发放。</w:t>
      </w:r>
    </w:p>
    <w:p w14:paraId="2FDB4F97">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申请材料：</w:t>
      </w:r>
    </w:p>
    <w:p w14:paraId="7C0F5B5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1.申请书；</w:t>
      </w:r>
    </w:p>
    <w:p w14:paraId="0A30BD9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2.伤亡证明；</w:t>
      </w:r>
    </w:p>
    <w:p w14:paraId="4EE5049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3.亡故的还需提供申请人与病故军队离休、退休干部和退休士官关系证明；</w:t>
      </w:r>
    </w:p>
    <w:p w14:paraId="544629A7">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eastAsia" w:ascii="Times New Roman" w:hAnsi="Times New Roman" w:eastAsia="国标仿宋-GB/T 2312" w:cs="Times New Roman"/>
          <w:color w:val="auto"/>
          <w:spacing w:val="0"/>
          <w:sz w:val="32"/>
          <w:szCs w:val="32"/>
          <w:u w:val="none"/>
          <w:lang w:val="en-US" w:eastAsia="zh-CN"/>
        </w:rPr>
        <w:t>4.多个有权申请人之间签订的分配协议书；</w:t>
      </w:r>
    </w:p>
    <w:p w14:paraId="3673642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eastAsia" w:ascii="Times New Roman" w:hAnsi="Times New Roman" w:eastAsia="国标仿宋-GB/T 2312" w:cs="Times New Roman"/>
          <w:color w:val="auto"/>
          <w:spacing w:val="0"/>
          <w:sz w:val="32"/>
          <w:szCs w:val="32"/>
          <w:u w:val="none"/>
          <w:lang w:val="en-US" w:eastAsia="zh-CN"/>
        </w:rPr>
        <w:t>5</w:t>
      </w:r>
      <w:r>
        <w:rPr>
          <w:rFonts w:hint="default" w:ascii="Times New Roman" w:hAnsi="Times New Roman" w:eastAsia="国标仿宋-GB/T 2312" w:cs="Times New Roman"/>
          <w:color w:val="auto"/>
          <w:spacing w:val="0"/>
          <w:sz w:val="32"/>
          <w:szCs w:val="32"/>
          <w:u w:val="none"/>
          <w:lang w:val="en-US" w:eastAsia="zh-CN"/>
        </w:rPr>
        <w:t>.经申请人确认的银行卡、存折账户等合法银行账户信息。</w:t>
      </w:r>
    </w:p>
    <w:p w14:paraId="1A99063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方正楷体简体" w:cs="Times New Roman"/>
          <w:b w:val="0"/>
          <w:bCs w:val="0"/>
          <w:color w:val="auto"/>
          <w:spacing w:val="0"/>
          <w:sz w:val="32"/>
          <w:szCs w:val="32"/>
          <w:u w:val="none"/>
          <w:lang w:eastAsia="zh-CN"/>
        </w:rPr>
      </w:pPr>
      <w:r>
        <w:rPr>
          <w:rFonts w:hint="default" w:ascii="Times New Roman" w:hAnsi="Times New Roman" w:eastAsia="方正楷体简体" w:cs="Times New Roman"/>
          <w:b w:val="0"/>
          <w:bCs w:val="0"/>
          <w:color w:val="auto"/>
          <w:spacing w:val="0"/>
          <w:sz w:val="32"/>
          <w:szCs w:val="32"/>
          <w:u w:val="none"/>
          <w:lang w:eastAsia="zh-CN"/>
        </w:rPr>
        <w:t>（十六）义务兵家庭优待</w:t>
      </w:r>
      <w:r>
        <w:rPr>
          <w:rFonts w:hint="default" w:ascii="Times New Roman" w:hAnsi="Times New Roman" w:eastAsia="方正楷体简体" w:cs="Times New Roman"/>
          <w:b w:val="0"/>
          <w:bCs w:val="0"/>
          <w:color w:val="auto"/>
          <w:spacing w:val="0"/>
          <w:sz w:val="32"/>
          <w:szCs w:val="32"/>
          <w:u w:val="none"/>
        </w:rPr>
        <w:t>金</w:t>
      </w:r>
      <w:r>
        <w:rPr>
          <w:rFonts w:hint="default" w:ascii="Times New Roman" w:hAnsi="Times New Roman" w:eastAsia="方正楷体简体" w:cs="Times New Roman"/>
          <w:b w:val="0"/>
          <w:bCs w:val="0"/>
          <w:color w:val="auto"/>
          <w:spacing w:val="0"/>
          <w:sz w:val="32"/>
          <w:szCs w:val="32"/>
          <w:u w:val="none"/>
          <w:lang w:eastAsia="zh-CN"/>
        </w:rPr>
        <w:t>的发放。</w:t>
      </w:r>
    </w:p>
    <w:p w14:paraId="7C01580E">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行政给付。</w:t>
      </w:r>
    </w:p>
    <w:p w14:paraId="7AA4744F">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3CAA2550">
      <w:pPr>
        <w:pStyle w:val="3"/>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1.《军人抚恤优待条例》</w:t>
      </w:r>
      <w:r>
        <w:rPr>
          <w:rFonts w:hint="default" w:ascii="Times New Roman" w:hAnsi="Times New Roman" w:eastAsia="国标仿宋-GB/T 2312" w:cs="Times New Roman"/>
          <w:color w:val="auto"/>
          <w:spacing w:val="0"/>
          <w:sz w:val="32"/>
          <w:szCs w:val="32"/>
          <w:u w:val="none"/>
          <w:lang w:eastAsia="zh-CN"/>
        </w:rPr>
        <w:t>第四十二条 国家建立中央和地方财政分级负担的义务兵家庭优待金制度，义务兵服现役期间，其家庭由批准入伍地县级人民政府发给优待金，同时按照规定享受其他优待。</w:t>
      </w:r>
    </w:p>
    <w:p w14:paraId="67A9787E">
      <w:pPr>
        <w:keepNext w:val="0"/>
        <w:keepLines w:val="0"/>
        <w:pageBreakBefore w:val="0"/>
        <w:kinsoku/>
        <w:wordWrap/>
        <w:overflowPunct/>
        <w:topLinePunct w:val="0"/>
        <w:autoSpaceDE/>
        <w:autoSpaceDN/>
        <w:bidi w:val="0"/>
        <w:spacing w:line="576" w:lineRule="exact"/>
        <w:ind w:right="-57" w:rightChars="-27" w:firstLine="640" w:firstLineChars="200"/>
        <w:rPr>
          <w:rFonts w:hint="default" w:ascii="Times New Roman" w:hAnsi="Times New Roman" w:eastAsia="国标仿宋-GB/T 2312" w:cs="Times New Roman"/>
          <w:sz w:val="32"/>
          <w:szCs w:val="32"/>
        </w:rPr>
      </w:pPr>
      <w:r>
        <w:rPr>
          <w:rFonts w:hint="default" w:ascii="Times New Roman" w:hAnsi="Times New Roman" w:eastAsia="国标仿宋-GB/T 2312" w:cs="Times New Roman"/>
          <w:sz w:val="32"/>
          <w:szCs w:val="32"/>
          <w:lang w:val="en-US" w:eastAsia="zh-CN"/>
        </w:rPr>
        <w:t>2.《</w:t>
      </w:r>
      <w:r>
        <w:rPr>
          <w:rFonts w:hint="default" w:ascii="Times New Roman" w:hAnsi="Times New Roman" w:eastAsia="国标仿宋-GB/T 2312" w:cs="Times New Roman"/>
          <w:sz w:val="32"/>
          <w:szCs w:val="32"/>
        </w:rPr>
        <w:t>西藏自治区〈退役士兵安置条例〉实施细则</w:t>
      </w:r>
      <w:r>
        <w:rPr>
          <w:rFonts w:hint="default" w:ascii="Times New Roman" w:hAnsi="Times New Roman" w:eastAsia="国标仿宋-GB/T 2312" w:cs="Times New Roman"/>
          <w:sz w:val="32"/>
          <w:szCs w:val="32"/>
          <w:lang w:val="en-US" w:eastAsia="zh-CN"/>
        </w:rPr>
        <w:t>》</w:t>
      </w:r>
      <w:r>
        <w:rPr>
          <w:rFonts w:hint="default" w:ascii="Times New Roman" w:hAnsi="Times New Roman" w:eastAsia="国标仿宋-GB/T 2312" w:cs="Times New Roman"/>
          <w:sz w:val="32"/>
          <w:szCs w:val="32"/>
        </w:rPr>
        <w:t>第二十二条 为体现对义务兵家庭的照顾和优待，实行城乡统一的优待金制度，即士兵服义务兵期间，义务兵家属优待金统一按两年24000元的标准，给其家庭发放优待金。</w:t>
      </w:r>
    </w:p>
    <w:p w14:paraId="52563E15">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条件：</w:t>
      </w:r>
    </w:p>
    <w:p w14:paraId="619E03E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西藏籍义务兵。</w:t>
      </w:r>
    </w:p>
    <w:p w14:paraId="177DDB07">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2589A66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1.县级退役军人工作主管部门根据县人民武装部提供的征兵情况和义务兵服役情况进行审核；</w:t>
      </w:r>
    </w:p>
    <w:p w14:paraId="7419C4B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2.县级财政部门审核、拨付资金；</w:t>
      </w:r>
    </w:p>
    <w:p w14:paraId="4572B37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3.代发金融机构将资金发放到义务兵个人指定账户。</w:t>
      </w:r>
    </w:p>
    <w:p w14:paraId="550038B8">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办理时限：</w:t>
      </w:r>
      <w:r>
        <w:rPr>
          <w:rFonts w:hint="default" w:ascii="Times New Roman" w:hAnsi="Times New Roman" w:eastAsia="国标仿宋-GB/T 2312" w:cs="Times New Roman"/>
          <w:color w:val="auto"/>
          <w:spacing w:val="0"/>
          <w:sz w:val="32"/>
          <w:szCs w:val="32"/>
          <w:u w:val="none"/>
          <w:lang w:eastAsia="zh-CN"/>
        </w:rPr>
        <w:t>每半年发放</w:t>
      </w:r>
      <w:r>
        <w:rPr>
          <w:rFonts w:hint="default" w:ascii="Times New Roman" w:hAnsi="Times New Roman" w:eastAsia="国标仿宋-GB/T 2312" w:cs="Times New Roman"/>
          <w:color w:val="auto"/>
          <w:spacing w:val="0"/>
          <w:sz w:val="32"/>
          <w:szCs w:val="32"/>
          <w:u w:val="none"/>
          <w:lang w:val="en-US" w:eastAsia="zh-CN"/>
        </w:rPr>
        <w:t>1次。</w:t>
      </w:r>
    </w:p>
    <w:p w14:paraId="55C07C7F">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申请材料：</w:t>
      </w:r>
      <w:r>
        <w:rPr>
          <w:rFonts w:hint="default" w:ascii="Times New Roman" w:hAnsi="Times New Roman" w:eastAsia="国标仿宋-GB/T 2312" w:cs="Times New Roman"/>
          <w:color w:val="auto"/>
          <w:spacing w:val="0"/>
          <w:sz w:val="32"/>
          <w:szCs w:val="32"/>
          <w:u w:val="none"/>
          <w:lang w:val="en-US" w:eastAsia="zh-CN"/>
        </w:rPr>
        <w:t>无。</w:t>
      </w:r>
    </w:p>
    <w:p w14:paraId="6CC9907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方正楷体简体" w:cs="Times New Roman"/>
          <w:b w:val="0"/>
          <w:bCs w:val="0"/>
          <w:color w:val="auto"/>
          <w:spacing w:val="0"/>
          <w:sz w:val="32"/>
          <w:szCs w:val="32"/>
          <w:u w:val="none"/>
          <w:lang w:eastAsia="zh-CN"/>
        </w:rPr>
      </w:pPr>
      <w:r>
        <w:rPr>
          <w:rFonts w:hint="default" w:ascii="Times New Roman" w:hAnsi="Times New Roman" w:eastAsia="国标楷体-GB/T 2312" w:cs="Times New Roman"/>
          <w:b w:val="0"/>
          <w:bCs w:val="0"/>
          <w:color w:val="auto"/>
          <w:spacing w:val="0"/>
          <w:sz w:val="32"/>
          <w:szCs w:val="32"/>
          <w:u w:val="none"/>
          <w:lang w:eastAsia="zh-CN"/>
        </w:rPr>
        <w:t>（十七）退出现役的残疾军人抚恤金的给付。</w:t>
      </w:r>
    </w:p>
    <w:p w14:paraId="413E91F7">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行政给付。</w:t>
      </w:r>
    </w:p>
    <w:p w14:paraId="49760E27">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60281D1F">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1.《中华人民共和国退役军人保障法》</w:t>
      </w:r>
      <w:r>
        <w:rPr>
          <w:rFonts w:hint="default" w:ascii="Times New Roman" w:hAnsi="Times New Roman" w:eastAsia="国标仿宋-GB/T 2312" w:cs="Times New Roman"/>
          <w:color w:val="auto"/>
          <w:spacing w:val="0"/>
          <w:sz w:val="32"/>
          <w:szCs w:val="32"/>
          <w:u w:val="none"/>
          <w:lang w:eastAsia="zh-CN"/>
        </w:rPr>
        <w:t>第五十六条 残疾退役军人依法享受抚恤。残疾退役军人按照残疾等级享受残疾抚恤金，标准由国务院退役军人工作主管部门会同国务院财政部门综合考虑国家经济社会发展水平、消费物价水平、全国城镇单位就业人员工资水平、国家财力情况等因素确定。残疾抚恤金由县级人民政府退役军人工作主管部门发放。对自主就业的退役军士和义务兵，地方人民政府可以根据当地实际情况给予一次性经济补助，补助标准及发放办法由省、自治区、直辖市人民政府制定。</w:t>
      </w:r>
    </w:p>
    <w:p w14:paraId="1DD4596B">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2.《军人抚恤优待条例》第二十七条第二款  因战、因公致残，残疾等级被评定为一级至十级的，享受抚恤；因病致残，残疾等级被评定为一级至六级的，享受抚恤。评定残疾等级的，从批准当月起发给残疾抚恤金。</w:t>
      </w:r>
    </w:p>
    <w:p w14:paraId="2EF32BF6">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第三十条 退出现役的残疾军人或者向政府移交的残疾军人，应当自军队办理退役手续或者移交手续后60日内，向户籍迁入地县级人民政府退役军人工作主管部门申请转入抚恤关系，按照残疾性质和等级享受残疾抚恤金。其退役或者向政府移交当年的残疾抚恤金由所在部队发给，迁入地县级人民政府退役军人工作主管部门从下一年起按照当地的标准发给。</w:t>
      </w:r>
    </w:p>
    <w:p w14:paraId="4985629B">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因工作需要继续服现役的残疾军人，经军队军级以上单位批准，由所在部队按照规定发给残疾抚恤金。</w:t>
      </w:r>
    </w:p>
    <w:p w14:paraId="1B69619E">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第三十一条 残疾军人的抚恤金标准应当参照上一年度全国城镇单位就业人员年平均工资水平确定。残疾抚恤金的标准以及一级至十级残疾军人享受残疾抚恤金的具体办法，由国务院退役军人工作主管部门会同国务院财政部门规定。</w:t>
      </w:r>
    </w:p>
    <w:p w14:paraId="3196F585">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对领取残疾抚恤金后生活仍有特殊困难的残疾军人，县级以上地方人民政府可以增发抚恤金或者采取其他方式予以困难补助。</w:t>
      </w:r>
    </w:p>
    <w:p w14:paraId="513BEEEC">
      <w:pPr>
        <w:pStyle w:val="3"/>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3.《伤残抚恤管理办法》第二十三条　伤残人员从被评定残疾等级的当月起，由户籍所在地县级人民政府退役军人工作主管部门按照规定予以抚恤。伤残人员抚恤关系转移的，其当年的抚恤金由部队或者迁出地的退役军人工作主管部门负责发给，从下一年起由迁入地退役军人工作主管部门按当地标准发给。由于申请人原因造成抚恤金断发的，不予补发。</w:t>
      </w:r>
    </w:p>
    <w:p w14:paraId="563B6055">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条件：</w:t>
      </w:r>
    </w:p>
    <w:p w14:paraId="4BC6080F">
      <w:pPr>
        <w:pStyle w:val="3"/>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color w:val="auto"/>
          <w:spacing w:val="0"/>
          <w:sz w:val="32"/>
          <w:szCs w:val="32"/>
          <w:u w:val="none"/>
          <w:lang w:val="en-US" w:eastAsia="zh-CN"/>
        </w:rPr>
      </w:pPr>
      <w:r>
        <w:rPr>
          <w:rFonts w:hint="eastAsia" w:ascii="Times New Roman" w:hAnsi="Times New Roman" w:eastAsia="国标仿宋-GB/T 2312" w:cs="Times New Roman"/>
          <w:color w:val="auto"/>
          <w:spacing w:val="0"/>
          <w:sz w:val="32"/>
          <w:szCs w:val="32"/>
          <w:u w:val="none"/>
          <w:lang w:val="en-US" w:eastAsia="zh-CN"/>
        </w:rPr>
        <w:t>伤残抚恤关系在西藏的退出现役的残疾军人</w:t>
      </w:r>
      <w:r>
        <w:rPr>
          <w:rFonts w:hint="default" w:ascii="Times New Roman" w:hAnsi="Times New Roman" w:eastAsia="国标仿宋-GB/T 2312" w:cs="Times New Roman"/>
          <w:color w:val="auto"/>
          <w:spacing w:val="0"/>
          <w:sz w:val="32"/>
          <w:szCs w:val="32"/>
          <w:u w:val="none"/>
          <w:lang w:val="en-US" w:eastAsia="zh-CN"/>
        </w:rPr>
        <w:t>。</w:t>
      </w:r>
    </w:p>
    <w:p w14:paraId="0C5EDFB0">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04B5918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1.申请人向所在单位申请新办、补办评定残疾等级，所在单位审核后报县级退役军人工作主管部门；</w:t>
      </w:r>
    </w:p>
    <w:p w14:paraId="1E0DB0D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2.县、市、省级退役军人工作主管部门逐级审核；</w:t>
      </w:r>
    </w:p>
    <w:p w14:paraId="6E1DC78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3.县级财政部门审核、拨付资金；</w:t>
      </w:r>
    </w:p>
    <w:p w14:paraId="6EDD523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4.代发金融机构将资金发放到个人指定账户。</w:t>
      </w:r>
    </w:p>
    <w:p w14:paraId="4A39BCD4">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办理时限：</w:t>
      </w:r>
      <w:r>
        <w:rPr>
          <w:rFonts w:hint="default" w:ascii="Times New Roman" w:hAnsi="Times New Roman" w:eastAsia="国标仿宋-GB/T 2312" w:cs="Times New Roman"/>
          <w:color w:val="auto"/>
          <w:spacing w:val="0"/>
          <w:sz w:val="32"/>
          <w:szCs w:val="32"/>
          <w:u w:val="none"/>
          <w:lang w:eastAsia="zh-CN"/>
        </w:rPr>
        <w:t>被评定当月开始</w:t>
      </w:r>
      <w:r>
        <w:rPr>
          <w:rFonts w:hint="default" w:ascii="Times New Roman" w:hAnsi="Times New Roman" w:eastAsia="国标仿宋-GB/T 2312" w:cs="Times New Roman"/>
          <w:color w:val="auto"/>
          <w:spacing w:val="0"/>
          <w:sz w:val="32"/>
          <w:szCs w:val="32"/>
          <w:u w:val="none"/>
          <w:lang w:val="en-US" w:eastAsia="zh-CN"/>
        </w:rPr>
        <w:t>发放。</w:t>
      </w:r>
    </w:p>
    <w:p w14:paraId="55B572B6">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申请材料：</w:t>
      </w:r>
    </w:p>
    <w:p w14:paraId="4D60C0D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1.伤残证件复印件；</w:t>
      </w:r>
    </w:p>
    <w:p w14:paraId="3979E9F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lang w:val="en-US" w:eastAsia="zh-CN"/>
        </w:rPr>
      </w:pPr>
      <w:r>
        <w:rPr>
          <w:rFonts w:hint="default" w:ascii="Times New Roman" w:hAnsi="Times New Roman" w:eastAsia="国标仿宋-GB/T 2312" w:cs="Times New Roman"/>
          <w:color w:val="auto"/>
          <w:spacing w:val="0"/>
          <w:sz w:val="32"/>
          <w:szCs w:val="32"/>
          <w:u w:val="none"/>
          <w:lang w:val="en-US" w:eastAsia="zh-CN"/>
        </w:rPr>
        <w:t>2.居民户口簿复印件；</w:t>
      </w:r>
    </w:p>
    <w:p w14:paraId="2A14E4A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3.经申请人确认的银行卡、存折账户等合法银行账户信息。</w:t>
      </w:r>
    </w:p>
    <w:p w14:paraId="7870801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楷体-GB/T 2312" w:cs="Times New Roman"/>
          <w:b w:val="0"/>
          <w:bCs w:val="0"/>
          <w:color w:val="auto"/>
          <w:spacing w:val="0"/>
          <w:sz w:val="32"/>
          <w:szCs w:val="32"/>
          <w:u w:val="none"/>
          <w:lang w:eastAsia="zh-CN"/>
        </w:rPr>
      </w:pPr>
      <w:r>
        <w:rPr>
          <w:rFonts w:hint="default" w:ascii="Times New Roman" w:hAnsi="Times New Roman" w:eastAsia="国标楷体-GB/T 2312" w:cs="Times New Roman"/>
          <w:b w:val="0"/>
          <w:bCs w:val="0"/>
          <w:color w:val="auto"/>
          <w:spacing w:val="0"/>
          <w:sz w:val="32"/>
          <w:szCs w:val="32"/>
          <w:u w:val="none"/>
          <w:lang w:eastAsia="zh-CN"/>
        </w:rPr>
        <w:t>（十八）优抚对象医疗保障。</w:t>
      </w:r>
    </w:p>
    <w:p w14:paraId="1AF6A5BD">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color w:val="auto"/>
          <w:spacing w:val="0"/>
          <w:sz w:val="32"/>
          <w:szCs w:val="32"/>
          <w:u w:val="none"/>
          <w:lang w:eastAsia="zh-CN"/>
        </w:rPr>
        <w:t>行政给付。</w:t>
      </w:r>
    </w:p>
    <w:p w14:paraId="7EECC147">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法定依据：</w:t>
      </w:r>
    </w:p>
    <w:p w14:paraId="2EB7192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1.《军人抚恤优待条例》第四十四条 国家对一级至六级残疾军人的医疗费用按照规定予以保障，其中参加工伤保险的一级至六级残疾军人旧伤复发的医疗费用，由工伤保险基金支付。</w:t>
      </w:r>
    </w:p>
    <w:p w14:paraId="52AA1FC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七级至十级残疾军人旧伤复发的医疗费用，已经参加工伤保险的，由工伤保险基金支付；未参加工伤保险，有工作单位的由工作单位解决，没有工作单位的由当地县级以上地方人民政府负责解决。七级至十级残疾军人旧伤复发以外的医疗费用，未参加医疗保险且本人支付有困难的，由当地县级以上地方人民政府酌情给予补助。</w:t>
      </w:r>
    </w:p>
    <w:p w14:paraId="71F0626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抚恤优待对象在军队医疗卫生机构和政府举办的医疗卫生机构按照规定享受优待服务，国家鼓励社会力量举办的医疗卫生机构为抚恤优待对象就医提供优待服务。参战退役军人、残疾军人按照规定享受医疗优惠。</w:t>
      </w:r>
    </w:p>
    <w:p w14:paraId="63962A1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抚恤优待对象享受医疗优待和优惠的具体办法由国务院退役军人工作主管部门和中央军事委员会后勤保障部会同国务院财政、卫生健康、医疗保障等部门规定。</w:t>
      </w:r>
    </w:p>
    <w:p w14:paraId="32E2914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中央财政对地方给予适当补助，用于帮助解决抚恤优待对象的医疗费用困难问题。</w:t>
      </w:r>
    </w:p>
    <w:p w14:paraId="5317679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2.《关于加强军人军属、退役军人和其他优待对象优待工作的意见》第二条规范优待内容的第六 在医疗方面，各地按照保证质量、方便就医的原则，明确本地区医疗优待定点服务机构，为残疾军人，烈属、因公牺牲军人遗属、病故军人遗属（以下简称“三属”），现役军人家属、老复员军人、参战参试退役军人、带病回乡退伍军人开通优先窗口，提供普通门诊优先挂号、取药、缴费、检查、住院服务。各级各类地方医疗机构优先为伤病残、老龄优抚对象提供家庭医生签约和健康教育、慢性病管理等基本公共卫生服务。组织优抚医院为残疾军人、“三属”、现役军人家属、老复员军人、参战参试退役军人、带病回乡退伍军人优惠体检，提供免收普通门诊挂号费和优先就诊、检查、住院等服务。</w:t>
      </w:r>
    </w:p>
    <w:p w14:paraId="2DB46E8C">
      <w:pPr>
        <w:pStyle w:val="3"/>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color w:val="auto"/>
          <w:spacing w:val="0"/>
          <w:kern w:val="0"/>
          <w:sz w:val="32"/>
          <w:szCs w:val="32"/>
          <w:u w:val="none"/>
          <w:lang w:val="en-US" w:eastAsia="zh-CN" w:bidi="ar-SA"/>
        </w:rPr>
      </w:pPr>
      <w:r>
        <w:rPr>
          <w:rFonts w:hint="default" w:ascii="Times New Roman" w:hAnsi="Times New Roman" w:eastAsia="国标仿宋-GB/T 2312" w:cs="Times New Roman"/>
          <w:color w:val="auto"/>
          <w:spacing w:val="0"/>
          <w:sz w:val="32"/>
          <w:szCs w:val="32"/>
          <w:u w:val="none"/>
          <w:lang w:val="en-US" w:eastAsia="zh-CN"/>
        </w:rPr>
        <w:t>3.</w:t>
      </w:r>
      <w:r>
        <w:rPr>
          <w:rFonts w:hint="default" w:ascii="Times New Roman" w:hAnsi="Times New Roman" w:eastAsia="国标仿宋-GB/T 2312" w:cs="Times New Roman"/>
          <w:color w:val="auto"/>
          <w:spacing w:val="0"/>
          <w:kern w:val="0"/>
          <w:sz w:val="32"/>
          <w:szCs w:val="32"/>
          <w:u w:val="none"/>
          <w:lang w:val="en-US" w:eastAsia="zh-CN" w:bidi="ar-SA"/>
        </w:rPr>
        <w:t>《优抚对象医疗保障办法》第四条 优抚对象按照属地原则相应参加职工基本医疗保险、城乡居民基本医疗保险等，享受国家基本医疗保障。各地要进一步健全完善优抚对象医疗补助制度，保障水平应与当地经济发展水平和财政承受能力相适应，保证优抚对象现有医疗待遇不降低。优抚对象就医按规定享受优惠和照顾。</w:t>
      </w:r>
    </w:p>
    <w:p w14:paraId="3A548305">
      <w:pPr>
        <w:pStyle w:val="3"/>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国标仿宋-GB/T 2312" w:cs="Times New Roman"/>
          <w:color w:val="auto"/>
          <w:spacing w:val="0"/>
          <w:kern w:val="0"/>
          <w:sz w:val="32"/>
          <w:szCs w:val="32"/>
          <w:u w:val="none"/>
          <w:lang w:val="en-US" w:eastAsia="zh-CN" w:bidi="ar-SA"/>
        </w:rPr>
      </w:pPr>
      <w:r>
        <w:rPr>
          <w:rFonts w:hint="default" w:ascii="Times New Roman" w:hAnsi="Times New Roman" w:eastAsia="国标仿宋-GB/T 2312" w:cs="Times New Roman"/>
          <w:color w:val="auto"/>
          <w:spacing w:val="0"/>
          <w:kern w:val="0"/>
          <w:sz w:val="32"/>
          <w:szCs w:val="32"/>
          <w:u w:val="none"/>
          <w:lang w:val="en-US" w:eastAsia="zh-CN" w:bidi="ar-SA"/>
        </w:rPr>
        <w:t>4.《残疾退役军人医疗保障办法》第五条  残疾退役军人在按规定享受基本医疗保障待遇的基础上，享受优抚对象医疗补助。各地要进一步健全完善优抚对象医疗补助制度，保障水平应当与各地经济发展水平和财政承受能力相适应，保证残疾退役军人现有医疗待遇不降低。</w:t>
      </w:r>
    </w:p>
    <w:p w14:paraId="475A8D66">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条件：</w:t>
      </w:r>
    </w:p>
    <w:p w14:paraId="2EB02E42">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西藏籍优抚对象</w:t>
      </w:r>
    </w:p>
    <w:p w14:paraId="2C8AD033">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程序：</w:t>
      </w:r>
    </w:p>
    <w:p w14:paraId="59C1898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1.优抚对象提出就医申请；</w:t>
      </w:r>
    </w:p>
    <w:p w14:paraId="6CB8D75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2.县级退役军人工作主管部门审核；</w:t>
      </w:r>
    </w:p>
    <w:p w14:paraId="41FF96C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3.县级财政部门审核、拨付资金；</w:t>
      </w:r>
    </w:p>
    <w:p w14:paraId="3B28112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4.代发金融机构将资金发放到个人指定账户。</w:t>
      </w:r>
    </w:p>
    <w:p w14:paraId="782CA0C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lang w:val="en-US" w:eastAsia="zh-CN"/>
        </w:rPr>
        <w:t>办理时限：</w:t>
      </w:r>
      <w:r>
        <w:rPr>
          <w:rFonts w:hint="eastAsia" w:ascii="Times New Roman" w:hAnsi="Times New Roman" w:eastAsia="国标仿宋-GB/T 2312" w:cs="Times New Roman"/>
          <w:color w:val="auto"/>
          <w:spacing w:val="0"/>
          <w:sz w:val="32"/>
          <w:szCs w:val="32"/>
          <w:u w:val="none"/>
          <w:lang w:val="en-US" w:eastAsia="zh-CN"/>
        </w:rPr>
        <w:t>财政部门资金拨付</w:t>
      </w:r>
      <w:r>
        <w:rPr>
          <w:rFonts w:hint="default" w:ascii="Times New Roman" w:hAnsi="Times New Roman" w:eastAsia="国标仿宋-GB/T 2312" w:cs="Times New Roman"/>
          <w:color w:val="auto"/>
          <w:spacing w:val="0"/>
          <w:sz w:val="32"/>
          <w:szCs w:val="32"/>
          <w:u w:val="none"/>
          <w:lang w:val="en-US" w:eastAsia="zh-CN"/>
        </w:rPr>
        <w:t>之日起60个工作日内发放。</w:t>
      </w:r>
    </w:p>
    <w:p w14:paraId="432D7E5F">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申请材料：</w:t>
      </w:r>
    </w:p>
    <w:p w14:paraId="0EE8155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1.申请书；</w:t>
      </w:r>
    </w:p>
    <w:p w14:paraId="5BFD757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2.就医相关证明材料；</w:t>
      </w:r>
    </w:p>
    <w:p w14:paraId="0931A6A6">
      <w:pPr>
        <w:pStyle w:val="17"/>
        <w:keepNext w:val="0"/>
        <w:keepLines w:val="0"/>
        <w:pageBreakBefore w:val="0"/>
        <w:kinsoku/>
        <w:wordWrap/>
        <w:overflowPunct/>
        <w:topLinePunct w:val="0"/>
        <w:autoSpaceDE/>
        <w:autoSpaceDN/>
        <w:bidi w:val="0"/>
        <w:adjustRightInd w:val="0"/>
        <w:snapToGrid w:val="0"/>
        <w:spacing w:line="576" w:lineRule="exact"/>
        <w:textAlignment w:val="auto"/>
        <w:rPr>
          <w:rFonts w:hint="eastAsia"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3.经申请人确认的银行卡、存折账户等合法银行账户信息</w:t>
      </w:r>
      <w:r>
        <w:rPr>
          <w:rFonts w:hint="eastAsia" w:ascii="Times New Roman" w:hAnsi="Times New Roman" w:eastAsia="国标仿宋-GB/T 2312" w:cs="Times New Roman"/>
          <w:color w:val="auto"/>
          <w:spacing w:val="0"/>
          <w:sz w:val="32"/>
          <w:szCs w:val="32"/>
          <w:u w:val="none"/>
          <w:lang w:val="en-US" w:eastAsia="zh-CN"/>
        </w:rPr>
        <w:t>。</w:t>
      </w:r>
    </w:p>
    <w:p w14:paraId="09CB1E40">
      <w:pPr>
        <w:pStyle w:val="17"/>
        <w:keepNext w:val="0"/>
        <w:keepLines w:val="0"/>
        <w:pageBreakBefore w:val="0"/>
        <w:kinsoku/>
        <w:wordWrap/>
        <w:overflowPunct/>
        <w:topLinePunct w:val="0"/>
        <w:autoSpaceDE/>
        <w:autoSpaceDN/>
        <w:bidi w:val="0"/>
        <w:adjustRightInd w:val="0"/>
        <w:snapToGrid w:val="0"/>
        <w:spacing w:line="576" w:lineRule="exact"/>
        <w:textAlignment w:val="auto"/>
        <w:rPr>
          <w:rFonts w:hint="default" w:ascii="Times New Roman" w:hAnsi="Times New Roman" w:eastAsia="国标仿宋-GB/T 2312" w:cs="Times New Roman"/>
          <w:color w:val="auto"/>
          <w:spacing w:val="0"/>
          <w:sz w:val="32"/>
          <w:szCs w:val="32"/>
          <w:u w:val="none"/>
          <w:lang w:val="en-US" w:eastAsia="zh-CN"/>
        </w:rPr>
        <w:sectPr>
          <w:pgSz w:w="11906" w:h="16838"/>
          <w:pgMar w:top="1531" w:right="1531" w:bottom="1587" w:left="1984" w:header="851" w:footer="992" w:gutter="0"/>
          <w:pgNumType w:fmt="numberInDash"/>
          <w:cols w:space="720" w:num="1"/>
          <w:rtlGutter w:val="0"/>
          <w:docGrid w:type="lines" w:linePitch="312" w:charSpace="0"/>
        </w:sectPr>
      </w:pPr>
    </w:p>
    <w:p w14:paraId="213EE48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Style w:val="15"/>
          <w:rFonts w:hint="eastAsia" w:ascii="Times New Roman" w:hAnsi="Times New Roman" w:eastAsia="黑体" w:cs="Times New Roman"/>
          <w:b w:val="0"/>
          <w:bCs/>
          <w:color w:val="auto"/>
          <w:spacing w:val="0"/>
          <w:sz w:val="32"/>
          <w:szCs w:val="32"/>
          <w:highlight w:val="none"/>
          <w:u w:val="none"/>
          <w:shd w:val="clear" w:color="auto" w:fill="FFFFFF"/>
          <w:lang w:val="en-US" w:eastAsia="zh-CN"/>
        </w:rPr>
      </w:pPr>
      <w:r>
        <w:rPr>
          <w:rFonts w:hint="eastAsia" w:ascii="黑体" w:hAnsi="黑体" w:eastAsia="黑体" w:cs="黑体"/>
          <w:color w:val="auto"/>
          <w:spacing w:val="0"/>
          <w:sz w:val="32"/>
          <w:szCs w:val="32"/>
          <w:u w:val="none"/>
        </w:rPr>
        <w:t>二、行政确认、行政给付细化量化规定</w:t>
      </w:r>
    </w:p>
    <w:tbl>
      <w:tblPr>
        <w:tblStyle w:val="13"/>
        <w:tblW w:w="13964"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91"/>
        <w:gridCol w:w="709"/>
        <w:gridCol w:w="4446"/>
        <w:gridCol w:w="1841"/>
        <w:gridCol w:w="2332"/>
        <w:gridCol w:w="1581"/>
        <w:gridCol w:w="1596"/>
      </w:tblGrid>
      <w:tr w14:paraId="4AAA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68" w:type="dxa"/>
            <w:vAlign w:val="center"/>
          </w:tcPr>
          <w:p w14:paraId="05B99E6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outlineLvl w:val="9"/>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pPr>
            <w:r>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t>序号</w:t>
            </w:r>
          </w:p>
        </w:tc>
        <w:tc>
          <w:tcPr>
            <w:tcW w:w="791" w:type="dxa"/>
            <w:vAlign w:val="center"/>
          </w:tcPr>
          <w:p w14:paraId="4A07D93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outlineLvl w:val="9"/>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pPr>
            <w:r>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t>职权名称</w:t>
            </w:r>
          </w:p>
        </w:tc>
        <w:tc>
          <w:tcPr>
            <w:tcW w:w="709" w:type="dxa"/>
            <w:vAlign w:val="center"/>
          </w:tcPr>
          <w:p w14:paraId="6099F7C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outlineLvl w:val="9"/>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pPr>
            <w:r>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t>执法类型</w:t>
            </w:r>
          </w:p>
        </w:tc>
        <w:tc>
          <w:tcPr>
            <w:tcW w:w="4446" w:type="dxa"/>
            <w:vAlign w:val="center"/>
          </w:tcPr>
          <w:p w14:paraId="6D78AB4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outlineLvl w:val="9"/>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pPr>
            <w:r>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t>职权依据</w:t>
            </w:r>
          </w:p>
        </w:tc>
        <w:tc>
          <w:tcPr>
            <w:tcW w:w="1841" w:type="dxa"/>
            <w:vAlign w:val="center"/>
          </w:tcPr>
          <w:p w14:paraId="5C2FE2E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outlineLvl w:val="9"/>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pPr>
            <w:r>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t>有关条件</w:t>
            </w:r>
          </w:p>
        </w:tc>
        <w:tc>
          <w:tcPr>
            <w:tcW w:w="2332" w:type="dxa"/>
            <w:vAlign w:val="center"/>
          </w:tcPr>
          <w:p w14:paraId="0EE33F1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outlineLvl w:val="9"/>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pPr>
            <w:r>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t>有关程序</w:t>
            </w:r>
          </w:p>
        </w:tc>
        <w:tc>
          <w:tcPr>
            <w:tcW w:w="1581" w:type="dxa"/>
            <w:vAlign w:val="center"/>
          </w:tcPr>
          <w:p w14:paraId="15AE307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outlineLvl w:val="9"/>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pPr>
            <w:r>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t>办理时限</w:t>
            </w:r>
          </w:p>
        </w:tc>
        <w:tc>
          <w:tcPr>
            <w:tcW w:w="1596" w:type="dxa"/>
            <w:vAlign w:val="center"/>
          </w:tcPr>
          <w:p w14:paraId="6977F07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outlineLvl w:val="9"/>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pPr>
            <w:r>
              <w:rPr>
                <w:rStyle w:val="15"/>
                <w:rFonts w:hint="eastAsia" w:ascii="方正楷体简体" w:hAnsi="方正楷体简体" w:eastAsia="方正楷体简体" w:cs="方正楷体简体"/>
                <w:b w:val="0"/>
                <w:bCs/>
                <w:color w:val="auto"/>
                <w:spacing w:val="0"/>
                <w:sz w:val="20"/>
                <w:szCs w:val="20"/>
                <w:highlight w:val="none"/>
                <w:u w:val="none"/>
                <w:shd w:val="clear" w:color="auto" w:fill="FFFFFF"/>
                <w:vertAlign w:val="baseline"/>
                <w:lang w:val="en-US" w:eastAsia="zh-CN"/>
              </w:rPr>
              <w:t>提交材料</w:t>
            </w:r>
          </w:p>
        </w:tc>
      </w:tr>
      <w:tr w14:paraId="1658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2" w:hRule="atLeast"/>
        </w:trPr>
        <w:tc>
          <w:tcPr>
            <w:tcW w:w="668" w:type="dxa"/>
            <w:vAlign w:val="center"/>
          </w:tcPr>
          <w:p w14:paraId="3FE73A45">
            <w:pPr>
              <w:pStyle w:val="10"/>
              <w:keepNext w:val="0"/>
              <w:keepLines w:val="0"/>
              <w:pageBreakBefore w:val="0"/>
              <w:kinsoku/>
              <w:wordWrap/>
              <w:overflowPunct/>
              <w:topLinePunct w:val="0"/>
              <w:autoSpaceDE/>
              <w:autoSpaceDN/>
              <w:bidi w:val="0"/>
              <w:adjustRightInd/>
              <w:snapToGrid/>
              <w:spacing w:before="0" w:beforeAutospacing="0" w:after="0" w:afterAutospacing="0" w:line="576" w:lineRule="exact"/>
              <w:ind w:right="0" w:rightChars="0"/>
              <w:jc w:val="center"/>
              <w:textAlignment w:val="auto"/>
              <w:outlineLvl w:val="9"/>
              <w:rPr>
                <w:rStyle w:val="15"/>
                <w:rFonts w:hint="eastAsia" w:ascii="Times New Roman" w:hAnsi="Times New Roman" w:eastAsia="黑体" w:cs="Times New Roman"/>
                <w:b w:val="0"/>
                <w:bCs/>
                <w:color w:val="auto"/>
                <w:spacing w:val="0"/>
                <w:sz w:val="32"/>
                <w:szCs w:val="32"/>
                <w:highlight w:val="none"/>
                <w:u w:val="none"/>
                <w:shd w:val="clear" w:color="auto" w:fill="FFFFFF"/>
                <w:vertAlign w:val="baseline"/>
                <w:lang w:val="en-US" w:eastAsia="zh-CN"/>
              </w:rPr>
            </w:pPr>
            <w:r>
              <w:rPr>
                <w:rFonts w:hint="eastAsia" w:ascii="Times New Roman" w:hAnsi="Times New Roman" w:eastAsia="方正仿宋简体" w:cs="Times New Roman"/>
                <w:b w:val="0"/>
                <w:bCs w:val="0"/>
                <w:color w:val="auto"/>
                <w:spacing w:val="0"/>
                <w:kern w:val="2"/>
                <w:sz w:val="20"/>
                <w:szCs w:val="20"/>
                <w:u w:val="none"/>
                <w:lang w:val="en-US" w:eastAsia="zh-CN" w:bidi="ar-SA"/>
              </w:rPr>
              <w:t>1</w:t>
            </w:r>
          </w:p>
        </w:tc>
        <w:tc>
          <w:tcPr>
            <w:tcW w:w="791" w:type="dxa"/>
            <w:vAlign w:val="center"/>
          </w:tcPr>
          <w:p w14:paraId="6DB4B4E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因战因公因病致残性质的认定和伤残等级评 定</w:t>
            </w:r>
          </w:p>
          <w:p w14:paraId="21AAA71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709" w:type="dxa"/>
            <w:vAlign w:val="center"/>
          </w:tcPr>
          <w:p w14:paraId="7AB294E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行政确认</w:t>
            </w:r>
          </w:p>
        </w:tc>
        <w:tc>
          <w:tcPr>
            <w:tcW w:w="4446" w:type="dxa"/>
            <w:vAlign w:val="center"/>
          </w:tcPr>
          <w:p w14:paraId="6E792070">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eastAsia" w:ascii="Times New Roman" w:hAnsi="Times New Roman" w:eastAsia="方正仿宋简体" w:cs="Times New Roman"/>
                <w:b w:val="0"/>
                <w:bCs w:val="0"/>
                <w:color w:val="auto"/>
                <w:spacing w:val="0"/>
                <w:sz w:val="20"/>
                <w:szCs w:val="20"/>
                <w:u w:val="none"/>
                <w:lang w:val="en-US" w:eastAsia="zh-CN"/>
              </w:rPr>
            </w:pPr>
            <w:r>
              <w:rPr>
                <w:rFonts w:hint="default" w:ascii="Times New Roman" w:hAnsi="Times New Roman" w:eastAsia="方正仿宋简体" w:cs="Times New Roman"/>
                <w:b w:val="0"/>
                <w:bCs w:val="0"/>
                <w:color w:val="auto"/>
                <w:spacing w:val="0"/>
                <w:sz w:val="20"/>
                <w:szCs w:val="20"/>
                <w:u w:val="none"/>
                <w:lang w:val="en-US" w:eastAsia="zh-CN"/>
              </w:rPr>
              <w:t xml:space="preserve">1.《军人抚恤优待条例》 </w:t>
            </w:r>
            <w:r>
              <w:rPr>
                <w:rFonts w:hint="eastAsia" w:ascii="Times New Roman" w:hAnsi="Times New Roman" w:eastAsia="方正仿宋简体" w:cs="Times New Roman"/>
                <w:b w:val="0"/>
                <w:bCs w:val="0"/>
                <w:color w:val="auto"/>
                <w:spacing w:val="0"/>
                <w:sz w:val="20"/>
                <w:szCs w:val="20"/>
                <w:u w:val="none"/>
                <w:lang w:val="en-US" w:eastAsia="zh-CN"/>
              </w:rPr>
              <w:t>第二十八条第三款： （三）退出现役的军人和移交政府安置的军队离休退休干部、退休军士需要认定残疾性质和评定残疾等级的，由省级人民政府退役军人工作主管部门认定和评定。</w:t>
            </w:r>
          </w:p>
          <w:p w14:paraId="73E4A2B4">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eastAsia" w:ascii="Times New Roman" w:hAnsi="Times New Roman" w:eastAsia="方正仿宋简体" w:cs="Times New Roman"/>
                <w:b w:val="0"/>
                <w:bCs w:val="0"/>
                <w:color w:val="auto"/>
                <w:spacing w:val="0"/>
                <w:sz w:val="20"/>
                <w:szCs w:val="20"/>
                <w:u w:val="none"/>
                <w:lang w:val="en-US" w:eastAsia="zh-CN"/>
              </w:rPr>
            </w:pPr>
            <w:r>
              <w:rPr>
                <w:rFonts w:hint="eastAsia" w:ascii="Times New Roman" w:hAnsi="Times New Roman" w:eastAsia="方正仿宋简体" w:cs="Times New Roman"/>
                <w:b w:val="0"/>
                <w:bCs w:val="0"/>
                <w:color w:val="auto"/>
                <w:spacing w:val="0"/>
                <w:sz w:val="20"/>
                <w:szCs w:val="20"/>
                <w:u w:val="none"/>
                <w:lang w:val="en-US" w:eastAsia="zh-CN"/>
              </w:rPr>
              <w:t>评定残疾等级，应当依据医疗卫生专家小组出具的残疾等级医学鉴定意见。</w:t>
            </w:r>
          </w:p>
          <w:p w14:paraId="00AFE83D">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eastAsia" w:ascii="Times New Roman" w:hAnsi="Times New Roman" w:eastAsia="方正仿宋简体" w:cs="Times New Roman"/>
                <w:b w:val="0"/>
                <w:bCs w:val="0"/>
                <w:color w:val="auto"/>
                <w:spacing w:val="0"/>
                <w:sz w:val="20"/>
                <w:szCs w:val="20"/>
                <w:u w:val="none"/>
                <w:lang w:val="en-US" w:eastAsia="zh-CN"/>
              </w:rPr>
            </w:pPr>
            <w:r>
              <w:rPr>
                <w:rFonts w:hint="eastAsia" w:ascii="Times New Roman" w:hAnsi="Times New Roman" w:eastAsia="方正仿宋简体" w:cs="Times New Roman"/>
                <w:b w:val="0"/>
                <w:bCs w:val="0"/>
                <w:color w:val="auto"/>
                <w:spacing w:val="0"/>
                <w:sz w:val="20"/>
                <w:szCs w:val="20"/>
                <w:u w:val="none"/>
                <w:lang w:val="en-US" w:eastAsia="zh-CN"/>
              </w:rPr>
              <w:t>残疾军人由认定残疾性质和评定残疾等级的机关发给《中华人民共和国残疾军人证》。</w:t>
            </w:r>
          </w:p>
          <w:p w14:paraId="3293F06B">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eastAsia" w:ascii="Times New Roman" w:hAnsi="Times New Roman" w:eastAsia="方正仿宋简体" w:cs="Times New Roman"/>
                <w:b w:val="0"/>
                <w:bCs w:val="0"/>
                <w:color w:val="auto"/>
                <w:spacing w:val="0"/>
                <w:sz w:val="20"/>
                <w:szCs w:val="20"/>
                <w:u w:val="none"/>
                <w:lang w:val="en-US" w:eastAsia="zh-CN"/>
              </w:rPr>
            </w:pPr>
            <w:r>
              <w:rPr>
                <w:rFonts w:hint="eastAsia" w:ascii="Times New Roman" w:hAnsi="Times New Roman" w:eastAsia="方正仿宋简体" w:cs="Times New Roman"/>
                <w:b w:val="0"/>
                <w:bCs w:val="0"/>
                <w:color w:val="auto"/>
                <w:spacing w:val="0"/>
                <w:sz w:val="20"/>
                <w:szCs w:val="20"/>
                <w:u w:val="none"/>
                <w:lang w:val="en-US" w:eastAsia="zh-CN"/>
              </w:rPr>
              <w:t>第二十九条 军人因战、因公致残，未及时评定残疾等级，退出现役后，本人（无民事行为能力人或者限制民事行为能力人由其监护人）应当及时申请补办评定残疾等级；凭原始档案记载及原始病历能够证明服现役期间的残情和伤残性质符合评定残疾等级条件的，可以评定残疾等级。</w:t>
            </w:r>
          </w:p>
          <w:p w14:paraId="7498488E">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eastAsia" w:ascii="Times New Roman" w:hAnsi="Times New Roman" w:eastAsia="方正仿宋简体" w:cs="Times New Roman"/>
                <w:b w:val="0"/>
                <w:bCs w:val="0"/>
                <w:color w:val="auto"/>
                <w:spacing w:val="0"/>
                <w:sz w:val="20"/>
                <w:szCs w:val="20"/>
                <w:u w:val="none"/>
                <w:lang w:val="en-US" w:eastAsia="zh-CN"/>
              </w:rPr>
            </w:pPr>
            <w:r>
              <w:rPr>
                <w:rFonts w:hint="eastAsia" w:ascii="Times New Roman" w:hAnsi="Times New Roman" w:eastAsia="方正仿宋简体" w:cs="Times New Roman"/>
                <w:b w:val="0"/>
                <w:bCs w:val="0"/>
                <w:color w:val="auto"/>
                <w:spacing w:val="0"/>
                <w:sz w:val="20"/>
                <w:szCs w:val="20"/>
                <w:u w:val="none"/>
                <w:lang w:val="en-US" w:eastAsia="zh-CN"/>
              </w:rPr>
              <w:t>被诊断、鉴定为职业病或者因体内残留弹片致残，符合残疾等级评定条件的，可以补办评定残疾等级。</w:t>
            </w:r>
          </w:p>
          <w:p w14:paraId="6E8BA737">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Fonts w:hint="eastAsia" w:ascii="Times New Roman" w:hAnsi="Times New Roman" w:eastAsia="方正仿宋简体" w:cs="Times New Roman"/>
                <w:b w:val="0"/>
                <w:bCs w:val="0"/>
                <w:color w:val="auto"/>
                <w:spacing w:val="0"/>
                <w:sz w:val="20"/>
                <w:szCs w:val="20"/>
                <w:u w:val="none"/>
                <w:lang w:val="en-US" w:eastAsia="zh-CN"/>
              </w:rPr>
            </w:pPr>
            <w:r>
              <w:rPr>
                <w:rFonts w:hint="eastAsia" w:ascii="Times New Roman" w:hAnsi="Times New Roman" w:eastAsia="方正仿宋简体" w:cs="Times New Roman"/>
                <w:b w:val="0"/>
                <w:bCs w:val="0"/>
                <w:color w:val="auto"/>
                <w:spacing w:val="0"/>
                <w:sz w:val="20"/>
                <w:szCs w:val="20"/>
                <w:u w:val="none"/>
                <w:lang w:val="en-US" w:eastAsia="zh-CN"/>
              </w:rPr>
              <w:t>军人被评定残疾等级后，在服现役期间或者退出现役后原致残部位残疾情况发生明显变化，原定残疾等级与残疾情况明显不符，本人（无民事行为能力人或者限制民事行为能力人由其监护人）申请或者军队卫生部门、地方人民政府退役军人工作主管部门提出需要调整残疾等级的，可以重新评定残疾等级。申请调整残疾等级应当在上一次评定残疾等级1年后提出。</w:t>
            </w:r>
          </w:p>
          <w:p w14:paraId="63AC496E">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ind w:firstLine="400" w:firstLineChars="200"/>
              <w:jc w:val="both"/>
              <w:textAlignment w:val="auto"/>
              <w:rPr>
                <w:rStyle w:val="15"/>
                <w:rFonts w:hint="eastAsia" w:ascii="Times New Roman" w:hAnsi="Times New Roman" w:eastAsia="方正仿宋简体" w:cs="Times New Roman"/>
                <w:b w:val="0"/>
                <w:bCs/>
                <w:color w:val="auto"/>
                <w:spacing w:val="0"/>
                <w:sz w:val="32"/>
                <w:szCs w:val="32"/>
                <w:highlight w:val="none"/>
                <w:u w:val="none"/>
                <w:shd w:val="clear" w:color="auto" w:fill="FFFFFF"/>
                <w:vertAlign w:val="baseline"/>
                <w:lang w:val="en-US" w:eastAsia="zh-CN"/>
              </w:rPr>
            </w:pPr>
            <w:r>
              <w:rPr>
                <w:rFonts w:hint="default" w:ascii="Times New Roman" w:hAnsi="Times New Roman" w:eastAsia="方正仿宋简体" w:cs="Times New Roman"/>
                <w:b w:val="0"/>
                <w:bCs w:val="0"/>
                <w:color w:val="auto"/>
                <w:spacing w:val="0"/>
                <w:sz w:val="20"/>
                <w:szCs w:val="20"/>
                <w:u w:val="none"/>
                <w:lang w:val="en-US" w:eastAsia="zh-CN"/>
              </w:rPr>
              <w:t xml:space="preserve">2.《伤残抚恤管理办法》第三条 </w:t>
            </w:r>
            <w:r>
              <w:rPr>
                <w:rFonts w:hint="default" w:ascii="Times New Roman" w:hAnsi="Times New Roman" w:eastAsia="方正仿宋简体" w:cs="Times New Roman"/>
                <w:b w:val="0"/>
                <w:bCs w:val="0"/>
                <w:color w:val="auto"/>
                <w:spacing w:val="0"/>
                <w:kern w:val="2"/>
                <w:sz w:val="20"/>
                <w:szCs w:val="20"/>
                <w:u w:val="none"/>
                <w:shd w:val="clear" w:color="auto" w:fill="auto"/>
              </w:rPr>
              <w:t>本办法第二条所列人员符合《军人抚恤优待条例》及有关政策中因战因公致残规定的，可以认定因战因公致残；个人对导致伤残的事件和行为负有过错责任的，以及其他不符合因战因公致残情形的，不得认定为因战因公致残</w:t>
            </w:r>
            <w:r>
              <w:rPr>
                <w:rFonts w:hint="default" w:ascii="Times New Roman" w:hAnsi="Times New Roman" w:eastAsia="方正仿宋简体" w:cs="Times New Roman"/>
                <w:b w:val="0"/>
                <w:bCs w:val="0"/>
                <w:color w:val="auto"/>
                <w:spacing w:val="0"/>
                <w:kern w:val="2"/>
                <w:sz w:val="32"/>
                <w:szCs w:val="32"/>
                <w:u w:val="none"/>
                <w:shd w:val="clear" w:color="auto" w:fill="auto"/>
              </w:rPr>
              <w:t>。</w:t>
            </w:r>
          </w:p>
        </w:tc>
        <w:tc>
          <w:tcPr>
            <w:tcW w:w="1841" w:type="dxa"/>
            <w:vAlign w:val="center"/>
          </w:tcPr>
          <w:p w14:paraId="55C80FFB">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简体" w:cs="Times New Roman"/>
                <w:b w:val="0"/>
                <w:bCs w:val="0"/>
                <w:color w:val="auto"/>
                <w:spacing w:val="0"/>
                <w:sz w:val="20"/>
                <w:szCs w:val="20"/>
                <w:u w:val="none"/>
                <w:lang w:val="en-US" w:eastAsia="zh-CN"/>
              </w:rPr>
            </w:pPr>
            <w:r>
              <w:rPr>
                <w:rFonts w:hint="default" w:ascii="Times New Roman" w:hAnsi="Times New Roman" w:eastAsia="方正仿宋简体" w:cs="Times New Roman"/>
                <w:b w:val="0"/>
                <w:bCs w:val="0"/>
                <w:color w:val="auto"/>
                <w:spacing w:val="0"/>
                <w:sz w:val="20"/>
                <w:szCs w:val="20"/>
                <w:u w:val="none"/>
                <w:lang w:val="en-US" w:eastAsia="zh-CN"/>
              </w:rPr>
              <w:t>符合下列情况的中国公民：</w:t>
            </w:r>
          </w:p>
          <w:p w14:paraId="7B7F3015">
            <w:pPr>
              <w:pStyle w:val="3"/>
              <w:keepNext w:val="0"/>
              <w:keepLines w:val="0"/>
              <w:pageBreakBefore w:val="0"/>
              <w:widowControl w:val="0"/>
              <w:numPr>
                <w:ilvl w:val="0"/>
                <w:numId w:val="0"/>
              </w:numPr>
              <w:kinsoku/>
              <w:wordWrap/>
              <w:overflowPunct/>
              <w:topLinePunct w:val="0"/>
              <w:autoSpaceDE/>
              <w:autoSpaceDN/>
              <w:bidi w:val="0"/>
              <w:adjustRightInd/>
              <w:snapToGrid/>
              <w:spacing w:line="200" w:lineRule="exact"/>
              <w:jc w:val="both"/>
              <w:textAlignment w:val="auto"/>
              <w:rPr>
                <w:rStyle w:val="15"/>
                <w:rFonts w:hint="eastAsia" w:ascii="Times New Roman" w:hAnsi="Times New Roman" w:eastAsia="黑体" w:cs="Times New Roman"/>
                <w:b w:val="0"/>
                <w:bCs/>
                <w:color w:val="auto"/>
                <w:spacing w:val="0"/>
                <w:sz w:val="32"/>
                <w:szCs w:val="32"/>
                <w:highlight w:val="none"/>
                <w:u w:val="none"/>
                <w:shd w:val="clear" w:color="auto" w:fill="FFFFFF"/>
                <w:vertAlign w:val="baseline"/>
                <w:lang w:val="en-US" w:eastAsia="zh-CN"/>
              </w:rPr>
            </w:pPr>
            <w:r>
              <w:rPr>
                <w:rFonts w:hint="default" w:ascii="Times New Roman" w:hAnsi="Times New Roman" w:eastAsia="方正仿宋简体" w:cs="Times New Roman"/>
                <w:b w:val="0"/>
                <w:bCs w:val="0"/>
                <w:color w:val="auto"/>
                <w:spacing w:val="0"/>
                <w:sz w:val="20"/>
                <w:szCs w:val="20"/>
                <w:u w:val="none"/>
                <w:lang w:val="en-US" w:eastAsia="zh-CN"/>
              </w:rPr>
              <w:t>1.在服役期间因战因公致残退出现役的军人，在服役期间因病评定了残疾等级退出现役的残疾军人；2.因战因公负伤时为行政编制的人民警察；3.因参战、参加军事演习、军事训练和执行军事勤务致残的预备役人员、民兵、民工以及其他人员；4.为维护社会治安同违法犯罪分子进行斗争致残的人员；5.为抢救和保护国家财产、人民生命财产致残的人员；6.法律、行政法规规定应当由</w:t>
            </w:r>
            <w:r>
              <w:rPr>
                <w:rFonts w:hint="eastAsia" w:ascii="Times New Roman" w:hAnsi="Times New Roman" w:eastAsia="方正仿宋简体" w:cs="Times New Roman"/>
                <w:b w:val="0"/>
                <w:bCs w:val="0"/>
                <w:color w:val="auto"/>
                <w:spacing w:val="0"/>
                <w:sz w:val="20"/>
                <w:szCs w:val="20"/>
                <w:u w:val="none"/>
                <w:lang w:val="en-US" w:eastAsia="zh-CN"/>
              </w:rPr>
              <w:t>退役军人工作主管部门</w:t>
            </w:r>
            <w:r>
              <w:rPr>
                <w:rFonts w:hint="default" w:ascii="Times New Roman" w:hAnsi="Times New Roman" w:eastAsia="方正仿宋简体" w:cs="Times New Roman"/>
                <w:b w:val="0"/>
                <w:bCs w:val="0"/>
                <w:color w:val="auto"/>
                <w:spacing w:val="0"/>
                <w:sz w:val="20"/>
                <w:szCs w:val="20"/>
                <w:u w:val="none"/>
                <w:lang w:val="en-US" w:eastAsia="zh-CN"/>
              </w:rPr>
              <w:t>负责伤残抚恤的其他人员。</w:t>
            </w:r>
            <w:r>
              <w:rPr>
                <w:rFonts w:hint="default" w:ascii="Times New Roman" w:hAnsi="Times New Roman" w:eastAsia="方正仿宋简体" w:cs="Times New Roman"/>
                <w:b w:val="0"/>
                <w:bCs w:val="0"/>
                <w:color w:val="auto"/>
                <w:spacing w:val="0"/>
                <w:kern w:val="2"/>
                <w:sz w:val="20"/>
                <w:szCs w:val="20"/>
                <w:u w:val="none"/>
                <w:lang w:val="en-US" w:eastAsia="zh-CN" w:bidi="ar-SA"/>
              </w:rPr>
              <w:t>第3、4、5项人员，根据《工伤保险条例》应当认定视同工伤的，不再办理因战、因公伤残抚恤。</w:t>
            </w:r>
            <w:r>
              <w:rPr>
                <w:rFonts w:hint="default" w:ascii="Times New Roman" w:hAnsi="Times New Roman" w:eastAsia="方正仿宋简体" w:cs="Times New Roman"/>
                <w:color w:val="auto"/>
                <w:spacing w:val="0"/>
                <w:sz w:val="32"/>
                <w:szCs w:val="32"/>
                <w:u w:val="none"/>
                <w:shd w:val="clear" w:color="auto" w:fill="auto"/>
                <w:lang w:val="en"/>
              </w:rPr>
              <w:t xml:space="preserve">   </w:t>
            </w:r>
          </w:p>
        </w:tc>
        <w:tc>
          <w:tcPr>
            <w:tcW w:w="2332" w:type="dxa"/>
            <w:vAlign w:val="center"/>
          </w:tcPr>
          <w:p w14:paraId="63032A2F">
            <w:pPr>
              <w:pStyle w:val="3"/>
              <w:keepNext w:val="0"/>
              <w:keepLines w:val="0"/>
              <w:pageBreakBefore w:val="0"/>
              <w:widowControl w:val="0"/>
              <w:numPr>
                <w:ilvl w:val="0"/>
                <w:numId w:val="0"/>
              </w:numPr>
              <w:kinsoku/>
              <w:wordWrap/>
              <w:overflowPunct/>
              <w:topLinePunct w:val="0"/>
              <w:autoSpaceDE/>
              <w:autoSpaceDN/>
              <w:bidi w:val="0"/>
              <w:spacing w:line="200" w:lineRule="exact"/>
              <w:jc w:val="both"/>
              <w:textAlignment w:val="auto"/>
              <w:rPr>
                <w:rStyle w:val="15"/>
                <w:rFonts w:hint="eastAsia" w:ascii="Times New Roman" w:hAnsi="Times New Roman" w:eastAsia="黑体" w:cs="Times New Roman"/>
                <w:b w:val="0"/>
                <w:bCs/>
                <w:color w:val="auto"/>
                <w:spacing w:val="0"/>
                <w:sz w:val="32"/>
                <w:szCs w:val="32"/>
                <w:highlight w:val="none"/>
                <w:u w:val="none"/>
                <w:shd w:val="clear" w:color="auto" w:fill="FFFFFF"/>
                <w:vertAlign w:val="baseline"/>
                <w:lang w:val="en-US" w:eastAsia="zh-CN"/>
              </w:rPr>
            </w:pP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1.申请人有工作单位的，向所在单位提出申请，由所在单位及时审查评定残疾等级申请，出具书面意见并加盖单位公章，连同相关材料一并报送户籍地县级人民政府</w:t>
            </w:r>
            <w:r>
              <w:rPr>
                <w:rFonts w:hint="eastAsia" w:ascii="Times New Roman" w:hAnsi="Times New Roman" w:eastAsia="方正仿宋简体" w:cs="Times New Roman"/>
                <w:b w:val="0"/>
                <w:bCs w:val="0"/>
                <w:color w:val="auto"/>
                <w:spacing w:val="0"/>
                <w:kern w:val="2"/>
                <w:sz w:val="20"/>
                <w:szCs w:val="20"/>
                <w:u w:val="none"/>
                <w:shd w:val="clear" w:color="auto" w:fill="auto"/>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审查。</w:t>
            </w: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br w:type="textWrapping"/>
            </w: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没有工作单位的或者以原致残部位申请评定残疾等级的，由本人直接向户籍地县级人民政府</w:t>
            </w:r>
            <w:r>
              <w:rPr>
                <w:rFonts w:hint="eastAsia" w:ascii="Times New Roman" w:hAnsi="Times New Roman" w:eastAsia="方正仿宋简体" w:cs="Times New Roman"/>
                <w:b w:val="0"/>
                <w:bCs w:val="0"/>
                <w:color w:val="auto"/>
                <w:spacing w:val="0"/>
                <w:kern w:val="2"/>
                <w:sz w:val="20"/>
                <w:szCs w:val="20"/>
                <w:u w:val="none"/>
                <w:shd w:val="clear" w:color="auto" w:fill="auto"/>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提出申请。</w:t>
            </w:r>
            <w:r>
              <w:rPr>
                <w:rFonts w:hint="default" w:ascii="Times New Roman" w:hAnsi="Times New Roman" w:eastAsia="方正仿宋简体" w:cs="Times New Roman"/>
                <w:color w:val="auto"/>
                <w:spacing w:val="0"/>
                <w:sz w:val="20"/>
                <w:szCs w:val="20"/>
                <w:u w:val="none"/>
                <w:lang w:val="en-US" w:eastAsia="zh-CN"/>
              </w:rPr>
              <w:t>2.县级</w:t>
            </w:r>
            <w:r>
              <w:rPr>
                <w:rFonts w:hint="eastAsia" w:ascii="Times New Roman" w:hAnsi="Times New Roman" w:eastAsia="方正仿宋简体" w:cs="Times New Roman"/>
                <w:color w:val="auto"/>
                <w:spacing w:val="0"/>
                <w:sz w:val="20"/>
                <w:szCs w:val="20"/>
                <w:u w:val="none"/>
                <w:lang w:val="en-US" w:eastAsia="zh-CN"/>
              </w:rPr>
              <w:t>退役军人工作主管部门</w:t>
            </w:r>
            <w:r>
              <w:rPr>
                <w:rFonts w:hint="default" w:ascii="Times New Roman" w:hAnsi="Times New Roman" w:eastAsia="方正仿宋简体" w:cs="Times New Roman"/>
                <w:color w:val="auto"/>
                <w:spacing w:val="0"/>
                <w:sz w:val="20"/>
                <w:szCs w:val="20"/>
                <w:u w:val="none"/>
                <w:lang w:val="en-US" w:eastAsia="zh-CN"/>
              </w:rPr>
              <w:t>审核；3.</w:t>
            </w:r>
            <w:r>
              <w:rPr>
                <w:rFonts w:hint="eastAsia" w:ascii="Times New Roman" w:hAnsi="Times New Roman" w:eastAsia="方正仿宋简体" w:cs="Times New Roman"/>
                <w:color w:val="auto"/>
                <w:spacing w:val="0"/>
                <w:kern w:val="2"/>
                <w:sz w:val="20"/>
                <w:szCs w:val="20"/>
                <w:u w:val="none"/>
                <w:shd w:val="clear" w:color="auto" w:fill="auto"/>
                <w:lang w:val="en-US" w:eastAsia="zh-CN"/>
              </w:rPr>
              <w:t>市</w:t>
            </w:r>
            <w:r>
              <w:rPr>
                <w:rFonts w:hint="default" w:ascii="Times New Roman" w:hAnsi="Times New Roman" w:eastAsia="方正仿宋简体" w:cs="Times New Roman"/>
                <w:color w:val="auto"/>
                <w:spacing w:val="0"/>
                <w:sz w:val="20"/>
                <w:szCs w:val="20"/>
                <w:u w:val="none"/>
                <w:lang w:val="en-US" w:eastAsia="zh-CN"/>
              </w:rPr>
              <w:t>级</w:t>
            </w:r>
            <w:r>
              <w:rPr>
                <w:rFonts w:hint="eastAsia" w:ascii="Times New Roman" w:hAnsi="Times New Roman" w:eastAsia="方正仿宋简体" w:cs="Times New Roman"/>
                <w:color w:val="auto"/>
                <w:spacing w:val="0"/>
                <w:sz w:val="20"/>
                <w:szCs w:val="20"/>
                <w:u w:val="none"/>
                <w:lang w:val="en-US" w:eastAsia="zh-CN"/>
              </w:rPr>
              <w:t>退役军人工作主管部门</w:t>
            </w:r>
            <w:r>
              <w:rPr>
                <w:rFonts w:hint="default" w:ascii="Times New Roman" w:hAnsi="Times New Roman" w:eastAsia="方正仿宋简体" w:cs="Times New Roman"/>
                <w:color w:val="auto"/>
                <w:spacing w:val="0"/>
                <w:sz w:val="20"/>
                <w:szCs w:val="20"/>
                <w:u w:val="none"/>
                <w:lang w:val="en-US" w:eastAsia="zh-CN"/>
              </w:rPr>
              <w:t>审核；4.省级</w:t>
            </w:r>
            <w:r>
              <w:rPr>
                <w:rFonts w:hint="eastAsia" w:ascii="Times New Roman" w:hAnsi="Times New Roman" w:eastAsia="方正仿宋简体" w:cs="Times New Roman"/>
                <w:color w:val="auto"/>
                <w:spacing w:val="0"/>
                <w:sz w:val="20"/>
                <w:szCs w:val="20"/>
                <w:u w:val="none"/>
                <w:lang w:val="en-US" w:eastAsia="zh-CN"/>
              </w:rPr>
              <w:t>退役军人工作主管部门</w:t>
            </w:r>
            <w:r>
              <w:rPr>
                <w:rFonts w:hint="default" w:ascii="Times New Roman" w:hAnsi="Times New Roman" w:eastAsia="方正仿宋简体" w:cs="Times New Roman"/>
                <w:color w:val="auto"/>
                <w:spacing w:val="0"/>
                <w:sz w:val="20"/>
                <w:szCs w:val="20"/>
                <w:u w:val="none"/>
                <w:lang w:val="en-US" w:eastAsia="zh-CN"/>
              </w:rPr>
              <w:t>审核；5.符合条件的，由省级</w:t>
            </w:r>
            <w:r>
              <w:rPr>
                <w:rFonts w:hint="eastAsia" w:ascii="Times New Roman" w:hAnsi="Times New Roman" w:eastAsia="方正仿宋简体" w:cs="Times New Roman"/>
                <w:color w:val="auto"/>
                <w:spacing w:val="0"/>
                <w:sz w:val="20"/>
                <w:szCs w:val="20"/>
                <w:u w:val="none"/>
                <w:lang w:val="en-US" w:eastAsia="zh-CN"/>
              </w:rPr>
              <w:t>退役军人工作主管部门</w:t>
            </w:r>
            <w:r>
              <w:rPr>
                <w:rFonts w:hint="default" w:ascii="Times New Roman" w:hAnsi="Times New Roman" w:eastAsia="方正仿宋简体" w:cs="Times New Roman"/>
                <w:color w:val="auto"/>
                <w:spacing w:val="0"/>
                <w:sz w:val="20"/>
                <w:szCs w:val="20"/>
                <w:u w:val="none"/>
                <w:lang w:val="en-US" w:eastAsia="zh-CN"/>
              </w:rPr>
              <w:t>逐级通知县级</w:t>
            </w:r>
            <w:r>
              <w:rPr>
                <w:rFonts w:hint="eastAsia" w:ascii="Times New Roman" w:hAnsi="Times New Roman" w:eastAsia="方正仿宋简体" w:cs="Times New Roman"/>
                <w:color w:val="auto"/>
                <w:spacing w:val="0"/>
                <w:sz w:val="20"/>
                <w:szCs w:val="20"/>
                <w:u w:val="none"/>
                <w:lang w:val="en-US" w:eastAsia="zh-CN"/>
              </w:rPr>
              <w:t>退役军人工作主管部门</w:t>
            </w:r>
            <w:r>
              <w:rPr>
                <w:rFonts w:hint="default" w:ascii="Times New Roman" w:hAnsi="Times New Roman" w:eastAsia="方正仿宋简体" w:cs="Times New Roman"/>
                <w:color w:val="auto"/>
                <w:spacing w:val="0"/>
                <w:sz w:val="20"/>
                <w:szCs w:val="20"/>
                <w:u w:val="none"/>
                <w:lang w:val="en-US" w:eastAsia="zh-CN"/>
              </w:rPr>
              <w:t>对申请人评残情况进行公示；不符合条件的，填写《残疾等级评定结果告知书》，连同申请人提供的材料逐级退还申请人或者其所在单位；6.办理伤残人员证。</w:t>
            </w:r>
          </w:p>
        </w:tc>
        <w:tc>
          <w:tcPr>
            <w:tcW w:w="1581" w:type="dxa"/>
            <w:vAlign w:val="center"/>
          </w:tcPr>
          <w:p w14:paraId="6EB994BA">
            <w:pPr>
              <w:pStyle w:val="3"/>
              <w:keepNext w:val="0"/>
              <w:keepLines w:val="0"/>
              <w:pageBreakBefore w:val="0"/>
              <w:widowControl w:val="0"/>
              <w:numPr>
                <w:ilvl w:val="0"/>
                <w:numId w:val="0"/>
              </w:numPr>
              <w:kinsoku/>
              <w:wordWrap/>
              <w:overflowPunct/>
              <w:topLinePunct w:val="0"/>
              <w:autoSpaceDE/>
              <w:autoSpaceDN/>
              <w:bidi w:val="0"/>
              <w:spacing w:line="200" w:lineRule="exact"/>
              <w:jc w:val="both"/>
              <w:textAlignment w:val="auto"/>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pP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1.县级</w:t>
            </w:r>
            <w:r>
              <w:rPr>
                <w:rFonts w:hint="eastAsia" w:ascii="Times New Roman" w:hAnsi="Times New Roman" w:eastAsia="方正仿宋简体" w:cs="Times New Roman"/>
                <w:b w:val="0"/>
                <w:bCs w:val="0"/>
                <w:color w:val="auto"/>
                <w:spacing w:val="0"/>
                <w:kern w:val="2"/>
                <w:sz w:val="20"/>
                <w:szCs w:val="20"/>
                <w:u w:val="none"/>
                <w:shd w:val="clear" w:color="auto" w:fill="auto"/>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在报请地市级</w:t>
            </w:r>
            <w:r>
              <w:rPr>
                <w:rFonts w:hint="eastAsia" w:ascii="Times New Roman" w:hAnsi="Times New Roman" w:eastAsia="方正仿宋简体" w:cs="Times New Roman"/>
                <w:b w:val="0"/>
                <w:bCs w:val="0"/>
                <w:color w:val="auto"/>
                <w:spacing w:val="0"/>
                <w:kern w:val="2"/>
                <w:sz w:val="20"/>
                <w:szCs w:val="20"/>
                <w:u w:val="none"/>
                <w:shd w:val="clear" w:color="auto" w:fill="auto"/>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审核同意后20个工作日内审查完毕；</w:t>
            </w:r>
          </w:p>
          <w:p w14:paraId="39901C51">
            <w:pPr>
              <w:pStyle w:val="3"/>
              <w:keepNext w:val="0"/>
              <w:keepLines w:val="0"/>
              <w:pageBreakBefore w:val="0"/>
              <w:widowControl w:val="0"/>
              <w:numPr>
                <w:ilvl w:val="0"/>
                <w:numId w:val="0"/>
              </w:numPr>
              <w:kinsoku/>
              <w:wordWrap/>
              <w:overflowPunct/>
              <w:topLinePunct w:val="0"/>
              <w:autoSpaceDE/>
              <w:autoSpaceDN/>
              <w:bidi w:val="0"/>
              <w:spacing w:line="200" w:lineRule="exact"/>
              <w:jc w:val="both"/>
              <w:textAlignment w:val="auto"/>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pP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2.县级</w:t>
            </w:r>
            <w:r>
              <w:rPr>
                <w:rFonts w:hint="eastAsia" w:ascii="Times New Roman" w:hAnsi="Times New Roman" w:eastAsia="方正仿宋简体" w:cs="Times New Roman"/>
                <w:b w:val="0"/>
                <w:bCs w:val="0"/>
                <w:color w:val="auto"/>
                <w:spacing w:val="0"/>
                <w:kern w:val="2"/>
                <w:sz w:val="20"/>
                <w:szCs w:val="20"/>
                <w:u w:val="none"/>
                <w:shd w:val="clear" w:color="auto" w:fill="auto"/>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在收到医疗卫生专家小组意见之日起20个工作日内审核完毕；</w:t>
            </w:r>
          </w:p>
          <w:p w14:paraId="6D7047CE">
            <w:pPr>
              <w:pStyle w:val="3"/>
              <w:keepNext w:val="0"/>
              <w:keepLines w:val="0"/>
              <w:pageBreakBefore w:val="0"/>
              <w:widowControl w:val="0"/>
              <w:numPr>
                <w:ilvl w:val="0"/>
                <w:numId w:val="0"/>
              </w:numPr>
              <w:kinsoku/>
              <w:wordWrap/>
              <w:overflowPunct/>
              <w:topLinePunct w:val="0"/>
              <w:autoSpaceDE/>
              <w:autoSpaceDN/>
              <w:bidi w:val="0"/>
              <w:spacing w:line="200" w:lineRule="exact"/>
              <w:jc w:val="both"/>
              <w:textAlignment w:val="auto"/>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pP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3.市级</w:t>
            </w:r>
            <w:r>
              <w:rPr>
                <w:rFonts w:hint="eastAsia" w:ascii="Times New Roman" w:hAnsi="Times New Roman" w:eastAsia="方正仿宋简体" w:cs="Times New Roman"/>
                <w:b w:val="0"/>
                <w:bCs w:val="0"/>
                <w:color w:val="auto"/>
                <w:spacing w:val="0"/>
                <w:kern w:val="2"/>
                <w:sz w:val="20"/>
                <w:szCs w:val="20"/>
                <w:u w:val="none"/>
                <w:shd w:val="clear" w:color="auto" w:fill="auto"/>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在收到上报材料后20个工作日内审核完毕；</w:t>
            </w:r>
          </w:p>
          <w:p w14:paraId="1F3CA578">
            <w:pPr>
              <w:pStyle w:val="3"/>
              <w:keepNext w:val="0"/>
              <w:keepLines w:val="0"/>
              <w:pageBreakBefore w:val="0"/>
              <w:widowControl w:val="0"/>
              <w:numPr>
                <w:ilvl w:val="0"/>
                <w:numId w:val="0"/>
              </w:numPr>
              <w:kinsoku/>
              <w:wordWrap/>
              <w:overflowPunct/>
              <w:topLinePunct w:val="0"/>
              <w:autoSpaceDE/>
              <w:autoSpaceDN/>
              <w:bidi w:val="0"/>
              <w:spacing w:line="200" w:lineRule="exact"/>
              <w:jc w:val="both"/>
              <w:textAlignment w:val="auto"/>
              <w:rPr>
                <w:rFonts w:hint="eastAsia" w:ascii="Times New Roman" w:hAnsi="Times New Roman" w:eastAsia="方正仿宋简体" w:cs="Times New Roman"/>
                <w:b w:val="0"/>
                <w:bCs w:val="0"/>
                <w:color w:val="auto"/>
                <w:spacing w:val="0"/>
                <w:kern w:val="2"/>
                <w:sz w:val="20"/>
                <w:szCs w:val="20"/>
                <w:u w:val="none"/>
                <w:shd w:val="clear" w:color="auto" w:fill="auto"/>
                <w:lang w:val="en-US" w:eastAsia="zh-CN" w:bidi="ar-SA"/>
              </w:rPr>
            </w:pP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4.省级</w:t>
            </w:r>
            <w:r>
              <w:rPr>
                <w:rFonts w:hint="eastAsia" w:ascii="Times New Roman" w:hAnsi="Times New Roman" w:eastAsia="方正仿宋简体" w:cs="Times New Roman"/>
                <w:b w:val="0"/>
                <w:bCs w:val="0"/>
                <w:color w:val="auto"/>
                <w:spacing w:val="0"/>
                <w:kern w:val="2"/>
                <w:sz w:val="20"/>
                <w:szCs w:val="20"/>
                <w:u w:val="none"/>
                <w:shd w:val="clear" w:color="auto" w:fill="auto"/>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自</w:t>
            </w:r>
            <w:r>
              <w:rPr>
                <w:rFonts w:hint="eastAsia" w:ascii="Times New Roman" w:hAnsi="Times New Roman" w:eastAsia="方正仿宋简体" w:cs="Times New Roman"/>
                <w:b w:val="0"/>
                <w:bCs w:val="0"/>
                <w:color w:val="auto"/>
                <w:spacing w:val="0"/>
                <w:kern w:val="2"/>
                <w:sz w:val="20"/>
                <w:szCs w:val="20"/>
                <w:u w:val="none"/>
                <w:shd w:val="clear" w:color="auto" w:fill="auto"/>
                <w:lang w:val="en-US" w:eastAsia="zh-CN" w:bidi="ar-SA"/>
              </w:rPr>
              <w:t>收到材料之日起4</w:t>
            </w: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0个工作日内</w:t>
            </w:r>
            <w:r>
              <w:rPr>
                <w:rFonts w:hint="eastAsia" w:ascii="Times New Roman" w:hAnsi="Times New Roman" w:eastAsia="方正仿宋简体" w:cs="Times New Roman"/>
                <w:b w:val="0"/>
                <w:bCs w:val="0"/>
                <w:color w:val="auto"/>
                <w:spacing w:val="0"/>
                <w:kern w:val="2"/>
                <w:sz w:val="20"/>
                <w:szCs w:val="20"/>
                <w:u w:val="none"/>
                <w:shd w:val="clear" w:color="auto" w:fill="auto"/>
                <w:lang w:val="en-US" w:eastAsia="zh-CN" w:bidi="ar-SA"/>
              </w:rPr>
              <w:t>逐级通知公示</w:t>
            </w: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或退回材料。</w:t>
            </w:r>
          </w:p>
        </w:tc>
        <w:tc>
          <w:tcPr>
            <w:tcW w:w="1596" w:type="dxa"/>
            <w:vAlign w:val="center"/>
          </w:tcPr>
          <w:p w14:paraId="7A2F9F56">
            <w:pPr>
              <w:pStyle w:val="3"/>
              <w:keepNext w:val="0"/>
              <w:keepLines w:val="0"/>
              <w:pageBreakBefore w:val="0"/>
              <w:widowControl w:val="0"/>
              <w:numPr>
                <w:ilvl w:val="0"/>
                <w:numId w:val="0"/>
              </w:numPr>
              <w:kinsoku/>
              <w:wordWrap/>
              <w:overflowPunct/>
              <w:topLinePunct w:val="0"/>
              <w:autoSpaceDE/>
              <w:autoSpaceDN/>
              <w:bidi w:val="0"/>
              <w:spacing w:line="200" w:lineRule="exact"/>
              <w:jc w:val="both"/>
              <w:textAlignment w:val="auto"/>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pPr>
            <w:r>
              <w:rPr>
                <w:rFonts w:hint="eastAsia" w:ascii="Times New Roman" w:hAnsi="Times New Roman" w:eastAsia="方正仿宋简体" w:cs="Times New Roman"/>
                <w:b w:val="0"/>
                <w:bCs w:val="0"/>
                <w:color w:val="auto"/>
                <w:spacing w:val="0"/>
                <w:kern w:val="2"/>
                <w:sz w:val="20"/>
                <w:szCs w:val="20"/>
                <w:u w:val="none"/>
                <w:shd w:val="clear" w:color="auto" w:fill="auto"/>
                <w:lang w:val="en-US" w:eastAsia="zh-CN" w:bidi="ar-SA"/>
              </w:rPr>
              <w:t>1.</w:t>
            </w: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书面申请；</w:t>
            </w:r>
          </w:p>
          <w:p w14:paraId="101BA9B6">
            <w:pPr>
              <w:pStyle w:val="3"/>
              <w:keepNext w:val="0"/>
              <w:keepLines w:val="0"/>
              <w:pageBreakBefore w:val="0"/>
              <w:widowControl w:val="0"/>
              <w:numPr>
                <w:ilvl w:val="0"/>
                <w:numId w:val="0"/>
              </w:numPr>
              <w:kinsoku/>
              <w:wordWrap/>
              <w:overflowPunct/>
              <w:topLinePunct w:val="0"/>
              <w:autoSpaceDE/>
              <w:autoSpaceDN/>
              <w:bidi w:val="0"/>
              <w:spacing w:line="200" w:lineRule="exact"/>
              <w:jc w:val="both"/>
              <w:textAlignment w:val="auto"/>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pPr>
            <w:r>
              <w:rPr>
                <w:rFonts w:hint="default" w:ascii="Times New Roman" w:hAnsi="Times New Roman" w:eastAsia="方正仿宋简体" w:cs="Times New Roman"/>
                <w:b w:val="0"/>
                <w:bCs w:val="0"/>
                <w:color w:val="auto"/>
                <w:spacing w:val="0"/>
                <w:kern w:val="2"/>
                <w:sz w:val="20"/>
                <w:szCs w:val="20"/>
                <w:u w:val="none"/>
                <w:shd w:val="clear" w:color="auto" w:fill="auto"/>
                <w:lang w:val="en" w:eastAsia="zh-CN" w:bidi="ar-SA"/>
              </w:rPr>
              <w:t>2.</w:t>
            </w: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身份证或者居民户口簿复印件</w:t>
            </w:r>
            <w:r>
              <w:rPr>
                <w:rFonts w:hint="eastAsia" w:ascii="Times New Roman" w:hAnsi="Times New Roman" w:eastAsia="方正仿宋简体" w:cs="Times New Roman"/>
                <w:b w:val="0"/>
                <w:bCs w:val="0"/>
                <w:color w:val="auto"/>
                <w:spacing w:val="0"/>
                <w:kern w:val="2"/>
                <w:sz w:val="20"/>
                <w:szCs w:val="20"/>
                <w:u w:val="none"/>
                <w:shd w:val="clear" w:color="auto" w:fill="auto"/>
                <w:lang w:val="en-US" w:eastAsia="zh-CN" w:bidi="ar-SA"/>
              </w:rPr>
              <w:t>（本人页和户主页）</w:t>
            </w: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w:t>
            </w:r>
          </w:p>
          <w:p w14:paraId="098A8BF1">
            <w:pPr>
              <w:pStyle w:val="3"/>
              <w:keepNext w:val="0"/>
              <w:keepLines w:val="0"/>
              <w:pageBreakBefore w:val="0"/>
              <w:widowControl w:val="0"/>
              <w:numPr>
                <w:ilvl w:val="0"/>
                <w:numId w:val="0"/>
              </w:numPr>
              <w:kinsoku/>
              <w:wordWrap/>
              <w:overflowPunct/>
              <w:topLinePunct w:val="0"/>
              <w:autoSpaceDE/>
              <w:autoSpaceDN/>
              <w:bidi w:val="0"/>
              <w:spacing w:line="200" w:lineRule="exact"/>
              <w:jc w:val="both"/>
              <w:textAlignment w:val="auto"/>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pP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3.退役军人证（退役军人登记表）、人民警察证等证件复印件；</w:t>
            </w:r>
          </w:p>
          <w:p w14:paraId="2B182670">
            <w:pPr>
              <w:pStyle w:val="3"/>
              <w:keepNext w:val="0"/>
              <w:keepLines w:val="0"/>
              <w:pageBreakBefore w:val="0"/>
              <w:widowControl w:val="0"/>
              <w:numPr>
                <w:ilvl w:val="0"/>
                <w:numId w:val="0"/>
              </w:numPr>
              <w:kinsoku/>
              <w:wordWrap/>
              <w:overflowPunct/>
              <w:topLinePunct w:val="0"/>
              <w:autoSpaceDE/>
              <w:autoSpaceDN/>
              <w:bidi w:val="0"/>
              <w:spacing w:line="200" w:lineRule="exact"/>
              <w:jc w:val="both"/>
              <w:textAlignment w:val="auto"/>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pP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4.近期二寸免冠彩色照片；</w:t>
            </w:r>
          </w:p>
          <w:p w14:paraId="323C9FCE">
            <w:pPr>
              <w:pStyle w:val="3"/>
              <w:keepNext w:val="0"/>
              <w:keepLines w:val="0"/>
              <w:pageBreakBefore w:val="0"/>
              <w:widowControl w:val="0"/>
              <w:numPr>
                <w:ilvl w:val="0"/>
                <w:numId w:val="0"/>
              </w:numPr>
              <w:kinsoku/>
              <w:wordWrap/>
              <w:overflowPunct/>
              <w:topLinePunct w:val="0"/>
              <w:autoSpaceDE/>
              <w:autoSpaceDN/>
              <w:bidi w:val="0"/>
              <w:spacing w:line="200" w:lineRule="exact"/>
              <w:jc w:val="both"/>
              <w:textAlignment w:val="auto"/>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pPr>
            <w:r>
              <w:rPr>
                <w:rFonts w:hint="default" w:ascii="Times New Roman" w:hAnsi="Times New Roman" w:eastAsia="方正仿宋简体" w:cs="Times New Roman"/>
                <w:b w:val="0"/>
                <w:bCs w:val="0"/>
                <w:color w:val="auto"/>
                <w:spacing w:val="0"/>
                <w:kern w:val="2"/>
                <w:sz w:val="20"/>
                <w:szCs w:val="20"/>
                <w:u w:val="none"/>
                <w:shd w:val="clear" w:color="auto" w:fill="auto"/>
                <w:lang w:val="en-US" w:eastAsia="zh-CN" w:bidi="ar-SA"/>
              </w:rPr>
              <w:t>5.申请新办评定残疾等级的还应当提交致残经过证明和医疗诊断证明。</w:t>
            </w:r>
          </w:p>
          <w:p w14:paraId="27E28BB7">
            <w:pPr>
              <w:pStyle w:val="3"/>
              <w:keepNext w:val="0"/>
              <w:keepLines w:val="0"/>
              <w:pageBreakBefore w:val="0"/>
              <w:widowControl w:val="0"/>
              <w:numPr>
                <w:ilvl w:val="0"/>
                <w:numId w:val="0"/>
              </w:numPr>
              <w:kinsoku/>
              <w:wordWrap/>
              <w:overflowPunct/>
              <w:topLinePunct w:val="0"/>
              <w:autoSpaceDE/>
              <w:autoSpaceDN/>
              <w:bidi w:val="0"/>
              <w:spacing w:line="200" w:lineRule="exact"/>
              <w:jc w:val="both"/>
              <w:textAlignment w:val="auto"/>
              <w:rPr>
                <w:rFonts w:hint="eastAsia" w:ascii="Times New Roman" w:hAnsi="Times New Roman" w:eastAsia="方正仿宋简体" w:cs="Times New Roman"/>
                <w:b w:val="0"/>
                <w:bCs w:val="0"/>
                <w:color w:val="auto"/>
                <w:spacing w:val="0"/>
                <w:kern w:val="2"/>
                <w:sz w:val="20"/>
                <w:szCs w:val="20"/>
                <w:u w:val="none"/>
                <w:shd w:val="clear" w:color="auto" w:fill="auto"/>
                <w:lang w:val="en-US" w:eastAsia="zh-CN" w:bidi="ar-SA"/>
              </w:rPr>
            </w:pPr>
          </w:p>
        </w:tc>
      </w:tr>
      <w:tr w14:paraId="0274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9" w:hRule="atLeast"/>
        </w:trPr>
        <w:tc>
          <w:tcPr>
            <w:tcW w:w="668" w:type="dxa"/>
            <w:vAlign w:val="center"/>
          </w:tcPr>
          <w:p w14:paraId="7EAB349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2</w:t>
            </w:r>
          </w:p>
        </w:tc>
        <w:tc>
          <w:tcPr>
            <w:tcW w:w="791" w:type="dxa"/>
            <w:vAlign w:val="center"/>
          </w:tcPr>
          <w:p w14:paraId="66A6D8C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伤残抚恤管理关系转移的确定</w:t>
            </w:r>
          </w:p>
        </w:tc>
        <w:tc>
          <w:tcPr>
            <w:tcW w:w="709" w:type="dxa"/>
            <w:vAlign w:val="center"/>
          </w:tcPr>
          <w:p w14:paraId="127A3E1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行政确认</w:t>
            </w:r>
          </w:p>
        </w:tc>
        <w:tc>
          <w:tcPr>
            <w:tcW w:w="4446" w:type="dxa"/>
            <w:vAlign w:val="center"/>
          </w:tcPr>
          <w:p w14:paraId="1766975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《伤残抚恤管理办法》第二十条 残疾军人退役或者向政府移交，</w:t>
            </w:r>
            <w:r>
              <w:rPr>
                <w:rFonts w:hint="eastAsia" w:ascii="Times New Roman" w:hAnsi="Times New Roman" w:eastAsia="方正仿宋简体" w:cs="Times New Roman"/>
                <w:b w:val="0"/>
                <w:bCs w:val="0"/>
                <w:color w:val="auto"/>
                <w:spacing w:val="0"/>
                <w:kern w:val="2"/>
                <w:sz w:val="20"/>
                <w:szCs w:val="20"/>
                <w:u w:val="none"/>
                <w:lang w:val="en-US" w:eastAsia="zh-CN" w:bidi="ar-SA"/>
              </w:rPr>
              <w:t>应当</w:t>
            </w:r>
            <w:r>
              <w:rPr>
                <w:rFonts w:hint="default" w:ascii="Times New Roman" w:hAnsi="Times New Roman" w:eastAsia="方正仿宋简体" w:cs="Times New Roman"/>
                <w:b w:val="0"/>
                <w:bCs w:val="0"/>
                <w:color w:val="auto"/>
                <w:spacing w:val="0"/>
                <w:kern w:val="2"/>
                <w:sz w:val="20"/>
                <w:szCs w:val="20"/>
                <w:u w:val="none"/>
                <w:lang w:val="en-US" w:eastAsia="zh-CN" w:bidi="ar-SA"/>
              </w:rPr>
              <w:t>自军队办理了退役手续或者移交手续后60日内，向户籍迁入地的县级人民政府</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申请转入抚恤关系。</w:t>
            </w:r>
            <w:r>
              <w:rPr>
                <w:rFonts w:hint="eastAsia" w:ascii="Times New Roman" w:hAnsi="Times New Roman" w:eastAsia="方正仿宋简体" w:cs="Times New Roman"/>
                <w:b w:val="0"/>
                <w:bCs w:val="0"/>
                <w:color w:val="auto"/>
                <w:spacing w:val="0"/>
                <w:kern w:val="2"/>
                <w:sz w:val="20"/>
                <w:szCs w:val="20"/>
                <w:u w:val="none"/>
                <w:lang w:val="en-US" w:eastAsia="zh-CN" w:bidi="ar-SA"/>
              </w:rPr>
              <w:t>第二十一条　伤残人员跨省迁移户籍时，应同步转移伤残抚恤关系，迁出地的县级人民政府退役军人事务部门根据伤残人员申请及其伤残证件和迁入地户口簿，将伤残档案、迁入地户口簿复印件以及《伤残人员关系转移证明》，发送迁入地县级人民政府退役军人事务部门，并同时将此信息逐级上报本省级人民政府退役军人事务部门。第二十二条　伤残人员本省、自治区、直辖市范围内迁移的有关手续，由省、自治区、直辖市人民政府退役军人事务部门规定。</w:t>
            </w:r>
          </w:p>
        </w:tc>
        <w:tc>
          <w:tcPr>
            <w:tcW w:w="1841" w:type="dxa"/>
            <w:vAlign w:val="center"/>
          </w:tcPr>
          <w:p w14:paraId="5868E15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残疾退役军人</w:t>
            </w:r>
          </w:p>
          <w:p w14:paraId="4448007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2332" w:type="dxa"/>
            <w:vAlign w:val="center"/>
          </w:tcPr>
          <w:p w14:paraId="3794271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1.向户籍迁入地县级人民政府</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申请；2.县级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审核；3.</w:t>
            </w:r>
            <w:r>
              <w:rPr>
                <w:rFonts w:hint="eastAsia" w:ascii="Times New Roman" w:hAnsi="Times New Roman" w:eastAsia="方正仿宋简体" w:cs="Times New Roman"/>
                <w:b w:val="0"/>
                <w:bCs w:val="0"/>
                <w:color w:val="auto"/>
                <w:spacing w:val="0"/>
                <w:kern w:val="2"/>
                <w:sz w:val="20"/>
                <w:szCs w:val="20"/>
                <w:u w:val="none"/>
                <w:lang w:val="en-US" w:eastAsia="zh-CN" w:bidi="ar-SA"/>
              </w:rPr>
              <w:t>市</w:t>
            </w:r>
            <w:r>
              <w:rPr>
                <w:rFonts w:hint="default" w:ascii="Times New Roman" w:hAnsi="Times New Roman" w:eastAsia="方正仿宋简体" w:cs="Times New Roman"/>
                <w:b w:val="0"/>
                <w:bCs w:val="0"/>
                <w:color w:val="auto"/>
                <w:spacing w:val="0"/>
                <w:kern w:val="2"/>
                <w:sz w:val="20"/>
                <w:szCs w:val="20"/>
                <w:u w:val="none"/>
                <w:lang w:val="en-US" w:eastAsia="zh-CN" w:bidi="ar-SA"/>
              </w:rPr>
              <w:t>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审核；4.省级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审核。</w:t>
            </w:r>
          </w:p>
          <w:p w14:paraId="6F6C7EB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81" w:type="dxa"/>
            <w:vAlign w:val="center"/>
          </w:tcPr>
          <w:p w14:paraId="4C3CEC7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各级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应当在20个工作日内完成本级需要办理的事项。</w:t>
            </w:r>
          </w:p>
          <w:p w14:paraId="50F05DF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96" w:type="dxa"/>
            <w:vAlign w:val="center"/>
          </w:tcPr>
          <w:p w14:paraId="466BF19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1.户口登记簿；2.残疾军人证；3.军队相关部门监制的《军人残疾等级评定表》；4.《</w:t>
            </w:r>
            <w:r>
              <w:rPr>
                <w:rFonts w:hint="eastAsia" w:ascii="Times New Roman" w:hAnsi="Times New Roman" w:eastAsia="方正仿宋简体" w:cs="Times New Roman"/>
                <w:b w:val="0"/>
                <w:bCs w:val="0"/>
                <w:color w:val="auto"/>
                <w:spacing w:val="0"/>
                <w:kern w:val="2"/>
                <w:sz w:val="20"/>
                <w:szCs w:val="20"/>
                <w:u w:val="none"/>
                <w:lang w:val="en-US" w:eastAsia="zh-CN" w:bidi="ar-SA"/>
              </w:rPr>
              <w:t>伤残人员关系转移证明</w:t>
            </w: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5.退役证件或者移交政府安置的相关证明。</w:t>
            </w:r>
          </w:p>
          <w:p w14:paraId="00069DC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r>
      <w:tr w14:paraId="6080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trPr>
        <w:tc>
          <w:tcPr>
            <w:tcW w:w="668" w:type="dxa"/>
            <w:vAlign w:val="center"/>
          </w:tcPr>
          <w:p w14:paraId="318779B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3</w:t>
            </w:r>
          </w:p>
        </w:tc>
        <w:tc>
          <w:tcPr>
            <w:tcW w:w="791" w:type="dxa"/>
            <w:vAlign w:val="center"/>
          </w:tcPr>
          <w:p w14:paraId="31787DC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对退出现役残疾退役军人集中供养的确 定</w:t>
            </w:r>
          </w:p>
        </w:tc>
        <w:tc>
          <w:tcPr>
            <w:tcW w:w="709" w:type="dxa"/>
            <w:vAlign w:val="center"/>
          </w:tcPr>
          <w:p w14:paraId="4FFB975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行政确认</w:t>
            </w:r>
          </w:p>
        </w:tc>
        <w:tc>
          <w:tcPr>
            <w:tcW w:w="4446" w:type="dxa"/>
            <w:vAlign w:val="center"/>
          </w:tcPr>
          <w:p w14:paraId="041C2B5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军人抚恤优待条例</w:t>
            </w:r>
            <w:r>
              <w:rPr>
                <w:rFonts w:hint="default" w:ascii="Times New Roman" w:hAnsi="Times New Roman" w:eastAsia="方正仿宋简体" w:cs="Times New Roman"/>
                <w:b w:val="0"/>
                <w:bCs w:val="0"/>
                <w:color w:val="auto"/>
                <w:spacing w:val="0"/>
                <w:kern w:val="2"/>
                <w:sz w:val="20"/>
                <w:szCs w:val="20"/>
                <w:u w:val="none"/>
                <w:lang w:val="en-US" w:eastAsia="zh-CN" w:bidi="ar-SA"/>
              </w:rPr>
              <w:t>》第</w:t>
            </w:r>
            <w:r>
              <w:rPr>
                <w:rFonts w:hint="eastAsia" w:ascii="Times New Roman" w:hAnsi="Times New Roman" w:eastAsia="方正仿宋简体" w:cs="Times New Roman"/>
                <w:b w:val="0"/>
                <w:bCs w:val="0"/>
                <w:color w:val="auto"/>
                <w:spacing w:val="0"/>
                <w:kern w:val="2"/>
                <w:sz w:val="20"/>
                <w:szCs w:val="20"/>
                <w:u w:val="none"/>
                <w:lang w:val="en-US" w:eastAsia="zh-CN" w:bidi="ar-SA"/>
              </w:rPr>
              <w:t>三</w:t>
            </w:r>
            <w:r>
              <w:rPr>
                <w:rFonts w:hint="default" w:ascii="Times New Roman" w:hAnsi="Times New Roman" w:eastAsia="方正仿宋简体" w:cs="Times New Roman"/>
                <w:b w:val="0"/>
                <w:bCs w:val="0"/>
                <w:color w:val="auto"/>
                <w:spacing w:val="0"/>
                <w:kern w:val="2"/>
                <w:sz w:val="20"/>
                <w:szCs w:val="20"/>
                <w:u w:val="none"/>
                <w:lang w:val="en-US" w:eastAsia="zh-CN" w:bidi="ar-SA"/>
              </w:rPr>
              <w:t>十</w:t>
            </w:r>
            <w:r>
              <w:rPr>
                <w:rFonts w:hint="eastAsia" w:ascii="Times New Roman" w:hAnsi="Times New Roman" w:eastAsia="方正仿宋简体" w:cs="Times New Roman"/>
                <w:b w:val="0"/>
                <w:bCs w:val="0"/>
                <w:color w:val="auto"/>
                <w:spacing w:val="0"/>
                <w:kern w:val="2"/>
                <w:sz w:val="20"/>
                <w:szCs w:val="20"/>
                <w:u w:val="none"/>
                <w:lang w:val="en-US" w:eastAsia="zh-CN" w:bidi="ar-SA"/>
              </w:rPr>
              <w:t>三</w:t>
            </w:r>
            <w:r>
              <w:rPr>
                <w:rFonts w:hint="default" w:ascii="Times New Roman" w:hAnsi="Times New Roman" w:eastAsia="方正仿宋简体" w:cs="Times New Roman"/>
                <w:b w:val="0"/>
                <w:bCs w:val="0"/>
                <w:color w:val="auto"/>
                <w:spacing w:val="0"/>
                <w:kern w:val="2"/>
                <w:sz w:val="20"/>
                <w:szCs w:val="20"/>
                <w:u w:val="none"/>
                <w:lang w:val="en-US" w:eastAsia="zh-CN" w:bidi="ar-SA"/>
              </w:rPr>
              <w:t xml:space="preserve">条 </w:t>
            </w:r>
            <w:r>
              <w:rPr>
                <w:rFonts w:hint="eastAsia" w:ascii="Times New Roman" w:hAnsi="Times New Roman" w:eastAsia="方正仿宋简体" w:cs="Times New Roman"/>
                <w:b w:val="0"/>
                <w:bCs w:val="0"/>
                <w:color w:val="auto"/>
                <w:spacing w:val="0"/>
                <w:kern w:val="2"/>
                <w:sz w:val="20"/>
                <w:szCs w:val="20"/>
                <w:u w:val="none"/>
                <w:lang w:val="en-US" w:eastAsia="zh-CN" w:bidi="ar-SA"/>
              </w:rPr>
              <w:t>退出现役时为一级至四级的</w:t>
            </w:r>
            <w:r>
              <w:rPr>
                <w:rFonts w:hint="default" w:ascii="Times New Roman" w:hAnsi="Times New Roman" w:eastAsia="方正仿宋简体" w:cs="Times New Roman"/>
                <w:b w:val="0"/>
                <w:bCs w:val="0"/>
                <w:color w:val="auto"/>
                <w:spacing w:val="0"/>
                <w:kern w:val="2"/>
                <w:sz w:val="20"/>
                <w:szCs w:val="20"/>
                <w:u w:val="none"/>
                <w:lang w:val="en-US" w:eastAsia="zh-CN" w:bidi="ar-SA"/>
              </w:rPr>
              <w:t>残疾军人</w:t>
            </w:r>
            <w:r>
              <w:rPr>
                <w:rFonts w:hint="eastAsia" w:ascii="Times New Roman" w:hAnsi="Times New Roman" w:eastAsia="方正仿宋简体" w:cs="Times New Roman"/>
                <w:b w:val="0"/>
                <w:bCs w:val="0"/>
                <w:color w:val="auto"/>
                <w:spacing w:val="0"/>
                <w:kern w:val="2"/>
                <w:sz w:val="20"/>
                <w:szCs w:val="20"/>
                <w:u w:val="none"/>
                <w:lang w:val="en-US" w:eastAsia="zh-CN" w:bidi="ar-SA"/>
              </w:rPr>
              <w:t>，由国家供养终身；其中，对需要长年医疗或者独身一人不便分散供养的，经省级人民政府退役军人工作主管部门批准，可以集中供养</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42510B1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841" w:type="dxa"/>
            <w:vAlign w:val="center"/>
          </w:tcPr>
          <w:p w14:paraId="5FA91F5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退出现役时为一至四级的</w:t>
            </w:r>
            <w:r>
              <w:rPr>
                <w:rFonts w:hint="default" w:ascii="Times New Roman" w:hAnsi="Times New Roman" w:eastAsia="方正仿宋简体" w:cs="Times New Roman"/>
                <w:b w:val="0"/>
                <w:bCs w:val="0"/>
                <w:color w:val="auto"/>
                <w:spacing w:val="0"/>
                <w:kern w:val="2"/>
                <w:sz w:val="20"/>
                <w:szCs w:val="20"/>
                <w:u w:val="none"/>
                <w:lang w:val="en-US" w:eastAsia="zh-CN" w:bidi="ar-SA"/>
              </w:rPr>
              <w:t>残疾军人</w:t>
            </w:r>
            <w:r>
              <w:rPr>
                <w:rFonts w:hint="eastAsia" w:ascii="Times New Roman" w:hAnsi="Times New Roman" w:eastAsia="方正仿宋简体" w:cs="Times New Roman"/>
                <w:b w:val="0"/>
                <w:bCs w:val="0"/>
                <w:color w:val="auto"/>
                <w:spacing w:val="0"/>
                <w:kern w:val="2"/>
                <w:sz w:val="20"/>
                <w:szCs w:val="20"/>
                <w:u w:val="none"/>
                <w:lang w:val="en-US" w:eastAsia="zh-CN" w:bidi="ar-SA"/>
              </w:rPr>
              <w:t>且安置在西藏有集中供养意愿的</w:t>
            </w:r>
          </w:p>
        </w:tc>
        <w:tc>
          <w:tcPr>
            <w:tcW w:w="2332" w:type="dxa"/>
            <w:vAlign w:val="center"/>
          </w:tcPr>
          <w:p w14:paraId="6D491B0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本人或监护人向</w:t>
            </w:r>
            <w:r>
              <w:rPr>
                <w:rFonts w:hint="default" w:ascii="Times New Roman" w:hAnsi="Times New Roman" w:eastAsia="方正仿宋简体" w:cs="Times New Roman"/>
                <w:b w:val="0"/>
                <w:bCs w:val="0"/>
                <w:color w:val="auto"/>
                <w:spacing w:val="0"/>
                <w:kern w:val="2"/>
                <w:sz w:val="20"/>
                <w:szCs w:val="20"/>
                <w:u w:val="none"/>
                <w:lang w:val="en-US" w:eastAsia="zh-CN" w:bidi="ar-SA"/>
              </w:rPr>
              <w:t>户籍</w:t>
            </w:r>
            <w:r>
              <w:rPr>
                <w:rFonts w:hint="eastAsia" w:ascii="Times New Roman" w:hAnsi="Times New Roman" w:eastAsia="方正仿宋简体" w:cs="Times New Roman"/>
                <w:b w:val="0"/>
                <w:bCs w:val="0"/>
                <w:color w:val="auto"/>
                <w:spacing w:val="0"/>
                <w:kern w:val="2"/>
                <w:sz w:val="20"/>
                <w:szCs w:val="20"/>
                <w:u w:val="none"/>
                <w:lang w:val="en-US" w:eastAsia="zh-CN" w:bidi="ar-SA"/>
              </w:rPr>
              <w:t>所在</w:t>
            </w:r>
            <w:r>
              <w:rPr>
                <w:rFonts w:hint="default" w:ascii="Times New Roman" w:hAnsi="Times New Roman" w:eastAsia="方正仿宋简体" w:cs="Times New Roman"/>
                <w:b w:val="0"/>
                <w:bCs w:val="0"/>
                <w:color w:val="auto"/>
                <w:spacing w:val="0"/>
                <w:kern w:val="2"/>
                <w:sz w:val="20"/>
                <w:szCs w:val="20"/>
                <w:u w:val="none"/>
                <w:lang w:val="en-US" w:eastAsia="zh-CN" w:bidi="ar-SA"/>
              </w:rPr>
              <w:t>地县级人民政府</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退役军人工作主管部门提出集中供养</w:t>
            </w:r>
            <w:r>
              <w:rPr>
                <w:rFonts w:hint="default" w:ascii="Times New Roman" w:hAnsi="Times New Roman" w:eastAsia="方正仿宋简体" w:cs="Times New Roman"/>
                <w:b w:val="0"/>
                <w:bCs w:val="0"/>
                <w:color w:val="auto"/>
                <w:spacing w:val="0"/>
                <w:kern w:val="2"/>
                <w:sz w:val="20"/>
                <w:szCs w:val="20"/>
                <w:u w:val="none"/>
                <w:lang w:val="en-US" w:eastAsia="zh-CN" w:bidi="ar-SA"/>
              </w:rPr>
              <w:t>申请；2.县级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审核；3.</w:t>
            </w:r>
            <w:r>
              <w:rPr>
                <w:rFonts w:hint="eastAsia" w:ascii="Times New Roman" w:hAnsi="Times New Roman" w:eastAsia="方正仿宋简体" w:cs="Times New Roman"/>
                <w:b w:val="0"/>
                <w:bCs w:val="0"/>
                <w:color w:val="auto"/>
                <w:spacing w:val="0"/>
                <w:kern w:val="2"/>
                <w:sz w:val="20"/>
                <w:szCs w:val="20"/>
                <w:u w:val="none"/>
                <w:lang w:val="en-US" w:eastAsia="zh-CN" w:bidi="ar-SA"/>
              </w:rPr>
              <w:t>市</w:t>
            </w:r>
            <w:r>
              <w:rPr>
                <w:rFonts w:hint="default" w:ascii="Times New Roman" w:hAnsi="Times New Roman" w:eastAsia="方正仿宋简体" w:cs="Times New Roman"/>
                <w:b w:val="0"/>
                <w:bCs w:val="0"/>
                <w:color w:val="auto"/>
                <w:spacing w:val="0"/>
                <w:kern w:val="2"/>
                <w:sz w:val="20"/>
                <w:szCs w:val="20"/>
                <w:u w:val="none"/>
                <w:lang w:val="en-US" w:eastAsia="zh-CN" w:bidi="ar-SA"/>
              </w:rPr>
              <w:t>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审核；4.省级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审核</w:t>
            </w:r>
            <w:r>
              <w:rPr>
                <w:rFonts w:hint="eastAsia" w:ascii="Times New Roman" w:hAnsi="Times New Roman" w:eastAsia="方正仿宋简体" w:cs="Times New Roman"/>
                <w:b w:val="0"/>
                <w:bCs w:val="0"/>
                <w:color w:val="auto"/>
                <w:spacing w:val="0"/>
                <w:kern w:val="2"/>
                <w:sz w:val="20"/>
                <w:szCs w:val="20"/>
                <w:u w:val="none"/>
                <w:lang w:val="en-US" w:eastAsia="zh-CN" w:bidi="ar-SA"/>
              </w:rPr>
              <w:t>确认</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tc>
        <w:tc>
          <w:tcPr>
            <w:tcW w:w="1581" w:type="dxa"/>
            <w:vAlign w:val="center"/>
          </w:tcPr>
          <w:p w14:paraId="5DCBC14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6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省</w:t>
            </w:r>
            <w:r>
              <w:rPr>
                <w:rFonts w:hint="default" w:ascii="Times New Roman" w:hAnsi="Times New Roman" w:eastAsia="方正仿宋简体" w:cs="Times New Roman"/>
                <w:b w:val="0"/>
                <w:bCs w:val="0"/>
                <w:color w:val="auto"/>
                <w:spacing w:val="0"/>
                <w:kern w:val="2"/>
                <w:sz w:val="20"/>
                <w:szCs w:val="20"/>
                <w:u w:val="none"/>
                <w:lang w:val="en-US" w:eastAsia="zh-CN" w:bidi="ar-SA"/>
              </w:rPr>
              <w:t>级</w:t>
            </w:r>
            <w:r>
              <w:rPr>
                <w:rFonts w:hint="eastAsia" w:ascii="Times New Roman" w:hAnsi="Times New Roman" w:eastAsia="方正仿宋简体" w:cs="Times New Roman"/>
                <w:b w:val="0"/>
                <w:bCs w:val="0"/>
                <w:color w:val="auto"/>
                <w:spacing w:val="0"/>
                <w:kern w:val="2"/>
                <w:sz w:val="20"/>
                <w:szCs w:val="20"/>
                <w:u w:val="none"/>
                <w:lang w:val="en-US" w:eastAsia="zh-CN" w:bidi="ar-SA"/>
              </w:rPr>
              <w:t>以下退役军人工作主管部门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应当在</w:t>
            </w:r>
            <w:r>
              <w:rPr>
                <w:rFonts w:hint="eastAsia" w:ascii="Times New Roman" w:hAnsi="Times New Roman" w:eastAsia="方正仿宋简体" w:cs="Times New Roman"/>
                <w:b w:val="0"/>
                <w:bCs w:val="0"/>
                <w:color w:val="auto"/>
                <w:spacing w:val="0"/>
                <w:kern w:val="2"/>
                <w:sz w:val="20"/>
                <w:szCs w:val="20"/>
                <w:u w:val="none"/>
                <w:lang w:val="en-US" w:eastAsia="zh-CN" w:bidi="ar-SA"/>
              </w:rPr>
              <w:t>5</w:t>
            </w:r>
            <w:r>
              <w:rPr>
                <w:rFonts w:hint="default" w:ascii="Times New Roman" w:hAnsi="Times New Roman" w:eastAsia="方正仿宋简体" w:cs="Times New Roman"/>
                <w:b w:val="0"/>
                <w:bCs w:val="0"/>
                <w:color w:val="auto"/>
                <w:spacing w:val="0"/>
                <w:kern w:val="2"/>
                <w:sz w:val="20"/>
                <w:szCs w:val="20"/>
                <w:u w:val="none"/>
                <w:lang w:val="en-US" w:eastAsia="zh-CN" w:bidi="ar-SA"/>
              </w:rPr>
              <w:t>个工作日内完成本级需要办理的事项</w:t>
            </w:r>
            <w:r>
              <w:rPr>
                <w:rFonts w:hint="eastAsia" w:ascii="Times New Roman" w:hAnsi="Times New Roman" w:eastAsia="方正仿宋简体" w:cs="Times New Roman"/>
                <w:b w:val="0"/>
                <w:bCs w:val="0"/>
                <w:color w:val="auto"/>
                <w:spacing w:val="0"/>
                <w:kern w:val="2"/>
                <w:sz w:val="20"/>
                <w:szCs w:val="20"/>
                <w:u w:val="none"/>
                <w:lang w:val="en-US" w:eastAsia="zh-CN" w:bidi="ar-SA"/>
              </w:rPr>
              <w:t>，省级退役军人工作主管部门应当在10个工作日内完成本级需要办理的事项</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tc>
        <w:tc>
          <w:tcPr>
            <w:tcW w:w="1596" w:type="dxa"/>
            <w:vAlign w:val="center"/>
          </w:tcPr>
          <w:p w14:paraId="7178F03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1.户</w:t>
            </w:r>
            <w:r>
              <w:rPr>
                <w:rFonts w:hint="eastAsia" w:ascii="Times New Roman" w:hAnsi="Times New Roman" w:eastAsia="方正仿宋简体" w:cs="Times New Roman"/>
                <w:b w:val="0"/>
                <w:bCs w:val="0"/>
                <w:color w:val="auto"/>
                <w:spacing w:val="0"/>
                <w:kern w:val="2"/>
                <w:sz w:val="20"/>
                <w:szCs w:val="20"/>
                <w:u w:val="none"/>
                <w:lang w:val="en-US" w:eastAsia="zh-CN" w:bidi="ar-SA"/>
              </w:rPr>
              <w:t>籍</w:t>
            </w:r>
            <w:r>
              <w:rPr>
                <w:rFonts w:hint="default" w:ascii="Times New Roman" w:hAnsi="Times New Roman" w:eastAsia="方正仿宋简体" w:cs="Times New Roman"/>
                <w:b w:val="0"/>
                <w:bCs w:val="0"/>
                <w:color w:val="auto"/>
                <w:spacing w:val="0"/>
                <w:kern w:val="2"/>
                <w:sz w:val="20"/>
                <w:szCs w:val="20"/>
                <w:u w:val="none"/>
                <w:lang w:val="en-US" w:eastAsia="zh-CN" w:bidi="ar-SA"/>
              </w:rPr>
              <w:t>登记簿；</w:t>
            </w:r>
          </w:p>
          <w:p w14:paraId="69E0DF9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2.残疾军人证；</w:t>
            </w:r>
          </w:p>
          <w:p w14:paraId="5961D94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3.军队相关部门监制的《军人残疾等级评定表》；</w:t>
            </w:r>
          </w:p>
          <w:p w14:paraId="1CC46B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4.</w:t>
            </w:r>
            <w:r>
              <w:rPr>
                <w:rFonts w:hint="eastAsia" w:ascii="Times New Roman" w:hAnsi="Times New Roman" w:eastAsia="方正仿宋简体" w:cs="Times New Roman"/>
                <w:b w:val="0"/>
                <w:bCs w:val="0"/>
                <w:color w:val="auto"/>
                <w:spacing w:val="0"/>
                <w:kern w:val="2"/>
                <w:sz w:val="20"/>
                <w:szCs w:val="20"/>
                <w:u w:val="none"/>
                <w:lang w:val="en-US" w:eastAsia="zh-CN" w:bidi="ar-SA"/>
              </w:rPr>
              <w:t>集中供养申请</w:t>
            </w:r>
          </w:p>
        </w:tc>
      </w:tr>
      <w:tr w14:paraId="226C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0" w:hRule="atLeast"/>
        </w:trPr>
        <w:tc>
          <w:tcPr>
            <w:tcW w:w="668" w:type="dxa"/>
            <w:vAlign w:val="center"/>
          </w:tcPr>
          <w:p w14:paraId="4D52261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4</w:t>
            </w:r>
          </w:p>
        </w:tc>
        <w:tc>
          <w:tcPr>
            <w:tcW w:w="791" w:type="dxa"/>
            <w:vAlign w:val="center"/>
          </w:tcPr>
          <w:p w14:paraId="1E5531D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退役军人异地安置的确定</w:t>
            </w:r>
          </w:p>
          <w:p w14:paraId="08B5DF1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709" w:type="dxa"/>
            <w:vAlign w:val="center"/>
          </w:tcPr>
          <w:p w14:paraId="0E3E8F9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行政确认</w:t>
            </w:r>
          </w:p>
          <w:p w14:paraId="021B6EA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tc>
        <w:tc>
          <w:tcPr>
            <w:tcW w:w="4446" w:type="dxa"/>
            <w:vAlign w:val="center"/>
          </w:tcPr>
          <w:p w14:paraId="22F6223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退役军人安置条例</w:t>
            </w: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第四十五条</w:t>
            </w:r>
            <w:r>
              <w:rPr>
                <w:rFonts w:hint="eastAsia" w:ascii="Times New Roman" w:hAnsi="Times New Roman" w:eastAsia="方正仿宋简体" w:cs="Times New Roman"/>
                <w:b w:val="0"/>
                <w:bCs w:val="0"/>
                <w:color w:val="auto"/>
                <w:spacing w:val="0"/>
                <w:kern w:val="2"/>
                <w:sz w:val="20"/>
                <w:szCs w:val="20"/>
                <w:u w:val="none"/>
                <w:lang w:val="en" w:eastAsia="zh-CN" w:bidi="ar-SA"/>
              </w:rPr>
              <w:t xml:space="preserve"> </w:t>
            </w:r>
            <w:r>
              <w:rPr>
                <w:rFonts w:hint="eastAsia" w:ascii="Times New Roman" w:hAnsi="Times New Roman" w:eastAsia="方正仿宋简体" w:cs="Times New Roman"/>
                <w:b w:val="0"/>
                <w:bCs w:val="0"/>
                <w:color w:val="auto"/>
                <w:spacing w:val="0"/>
                <w:kern w:val="2"/>
                <w:sz w:val="20"/>
                <w:szCs w:val="20"/>
                <w:u w:val="none"/>
                <w:lang w:val="en-US" w:eastAsia="zh-CN" w:bidi="ar-SA"/>
              </w:rPr>
              <w:t>退役义务兵和以自主就业、安排工作、供养方式安置的退役军士的安置地为其入伍时户口所在地。但是，入伍时是普通高等学校在校学生，退出现役后不复学的，其安置地为入学前的户口所在地。</w:t>
            </w:r>
          </w:p>
          <w:p w14:paraId="60D097F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退役义务兵和以自主就业、安排工作、供养方式安置的退役军士有下列情形之一的，可以易地安置：</w:t>
            </w:r>
          </w:p>
          <w:p w14:paraId="6B96035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（一）服现役期间父母任何一方户口所在地变更的，可以在父母任何一方现户口所在地安置；</w:t>
            </w:r>
          </w:p>
          <w:p w14:paraId="2ACA21B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（二）退役军士已婚的，可以在配偶或者配偶父母任何一方户口所在地安置；</w:t>
            </w:r>
          </w:p>
          <w:p w14:paraId="67E22C5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（三）退役军士的配偶为现役军人且符合随军规定的，可以在配偶部队驻地安置；双方同时退役的，可以在配偶的安置地安置；</w:t>
            </w:r>
          </w:p>
          <w:p w14:paraId="51737AF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（四）因其他特殊情况，由军队旅级以上单位政治工作部门出具证明，经省级以上人民政府退役军人工作主管部门批准，可以易地安置。</w:t>
            </w:r>
          </w:p>
          <w:p w14:paraId="0ED8587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退役军士按照前款第二项、第三项规定在国务院确定的中等以上城市安置的，应当结婚满2年。</w:t>
            </w:r>
          </w:p>
          <w:p w14:paraId="3C4E21B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第四十六条</w:t>
            </w:r>
            <w:r>
              <w:rPr>
                <w:rFonts w:hint="eastAsia" w:ascii="Times New Roman" w:hAnsi="Times New Roman" w:eastAsia="方正仿宋简体" w:cs="Times New Roman"/>
                <w:b w:val="0"/>
                <w:bCs w:val="0"/>
                <w:color w:val="auto"/>
                <w:spacing w:val="0"/>
                <w:kern w:val="2"/>
                <w:sz w:val="20"/>
                <w:szCs w:val="20"/>
                <w:u w:val="none"/>
                <w:lang w:val="en" w:eastAsia="zh-CN" w:bidi="ar-SA"/>
              </w:rPr>
              <w:t xml:space="preserve"> </w:t>
            </w:r>
            <w:r>
              <w:rPr>
                <w:rFonts w:hint="eastAsia" w:ascii="Times New Roman" w:hAnsi="Times New Roman" w:eastAsia="方正仿宋简体" w:cs="Times New Roman"/>
                <w:b w:val="0"/>
                <w:bCs w:val="0"/>
                <w:color w:val="auto"/>
                <w:spacing w:val="0"/>
                <w:kern w:val="2"/>
                <w:sz w:val="20"/>
                <w:szCs w:val="20"/>
                <w:u w:val="none"/>
                <w:lang w:val="en-US" w:eastAsia="zh-CN" w:bidi="ar-SA"/>
              </w:rPr>
              <w:t>因国家重大改革、重点项目建设以及国防和军队改革需要等情况，退役军人经国务院退役军人工作主管部门批准，可以跨省、自治区、直辖市安置。符合安置地吸引人才特殊政策规定条件的退役军人，由接收安置单位所在省级人民政府退役军人工作主管部门商同级人才工作主管部门同意，经国务院退役军人工作主管部门和中央军事委员会政治工作部门批准，可以跨省、自治区、直辖市安置。</w:t>
            </w:r>
          </w:p>
          <w:p w14:paraId="6993415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第四十七条</w:t>
            </w:r>
            <w:r>
              <w:rPr>
                <w:rFonts w:hint="eastAsia" w:ascii="Times New Roman" w:hAnsi="Times New Roman" w:eastAsia="方正仿宋简体" w:cs="Times New Roman"/>
                <w:b w:val="0"/>
                <w:bCs w:val="0"/>
                <w:color w:val="auto"/>
                <w:spacing w:val="0"/>
                <w:kern w:val="2"/>
                <w:sz w:val="20"/>
                <w:szCs w:val="20"/>
                <w:u w:val="none"/>
                <w:lang w:val="en" w:eastAsia="zh-CN" w:bidi="ar-SA"/>
              </w:rPr>
              <w:t xml:space="preserve"> </w:t>
            </w:r>
            <w:r>
              <w:rPr>
                <w:rFonts w:hint="eastAsia" w:ascii="Times New Roman" w:hAnsi="Times New Roman" w:eastAsia="方正仿宋简体" w:cs="Times New Roman"/>
                <w:b w:val="0"/>
                <w:bCs w:val="0"/>
                <w:color w:val="auto"/>
                <w:spacing w:val="0"/>
                <w:kern w:val="2"/>
                <w:sz w:val="20"/>
                <w:szCs w:val="20"/>
                <w:u w:val="none"/>
                <w:lang w:val="en-US" w:eastAsia="zh-CN" w:bidi="ar-SA"/>
              </w:rPr>
              <w:t>对因战致残、服现役期间个人荣获三等战功或者二等功以上奖励、是烈士子女的退役军人，以及父母双亡的退役军士和义务兵，可以根据本人申请，由省级以上人民政府退役军人工作主管部门按照有利于其生活的原则确定安置地。</w:t>
            </w:r>
          </w:p>
        </w:tc>
        <w:tc>
          <w:tcPr>
            <w:tcW w:w="1841" w:type="dxa"/>
            <w:vAlign w:val="center"/>
          </w:tcPr>
          <w:p w14:paraId="5E7BDAB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符合法律规定的异地安置条件的退役军人；退役义务兵和自主就业、安排工作、供养方式安置的退役军士；符合安置地吸引人才特殊政策规定条件的退役军人；因战致残、服现役期间个人荣获三等战功或者二等功以上奖励、是烈士子女的退役军人，以及父母双亡的退役军士和义务兵</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6B88F15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2332" w:type="dxa"/>
            <w:vAlign w:val="center"/>
          </w:tcPr>
          <w:p w14:paraId="1975D2C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4950F6A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本人提出易地安置</w:t>
            </w:r>
            <w:r>
              <w:rPr>
                <w:rFonts w:hint="default" w:ascii="Times New Roman" w:hAnsi="Times New Roman" w:eastAsia="方正仿宋简体" w:cs="Times New Roman"/>
                <w:b w:val="0"/>
                <w:bCs w:val="0"/>
                <w:color w:val="auto"/>
                <w:spacing w:val="0"/>
                <w:kern w:val="2"/>
                <w:sz w:val="20"/>
                <w:szCs w:val="20"/>
                <w:u w:val="none"/>
                <w:lang w:val="en-US" w:eastAsia="zh-CN" w:bidi="ar-SA"/>
              </w:rPr>
              <w:t>申请；</w:t>
            </w:r>
          </w:p>
          <w:p w14:paraId="6DF9A16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2.省级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审核</w:t>
            </w:r>
            <w:r>
              <w:rPr>
                <w:rFonts w:hint="eastAsia" w:ascii="Times New Roman" w:hAnsi="Times New Roman" w:eastAsia="方正仿宋简体" w:cs="Times New Roman"/>
                <w:b w:val="0"/>
                <w:bCs w:val="0"/>
                <w:color w:val="auto"/>
                <w:spacing w:val="0"/>
                <w:kern w:val="2"/>
                <w:sz w:val="20"/>
                <w:szCs w:val="20"/>
                <w:u w:val="none"/>
                <w:lang w:val="en-US" w:eastAsia="zh-CN" w:bidi="ar-SA"/>
              </w:rPr>
              <w:t>确认</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169818D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81" w:type="dxa"/>
            <w:vAlign w:val="center"/>
          </w:tcPr>
          <w:p w14:paraId="4D3AF35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省级退役军人工作主管部门应当在20个工作日内完成本级需要办理的事项</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4552A68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96" w:type="dxa"/>
            <w:vAlign w:val="center"/>
          </w:tcPr>
          <w:p w14:paraId="03B47DC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4EDE6C9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1.异地安置申请；</w:t>
            </w:r>
          </w:p>
          <w:p w14:paraId="19417AF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2.符合《退役军人安置条例》所提易地安置情形的相关证明材料</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46776C2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tc>
      </w:tr>
      <w:tr w14:paraId="29F0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4" w:hRule="atLeast"/>
        </w:trPr>
        <w:tc>
          <w:tcPr>
            <w:tcW w:w="668" w:type="dxa"/>
            <w:vAlign w:val="center"/>
          </w:tcPr>
          <w:p w14:paraId="006F343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5</w:t>
            </w:r>
          </w:p>
        </w:tc>
        <w:tc>
          <w:tcPr>
            <w:tcW w:w="791" w:type="dxa"/>
            <w:vAlign w:val="center"/>
          </w:tcPr>
          <w:p w14:paraId="6474347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烈士褒扬金的发放</w:t>
            </w:r>
          </w:p>
        </w:tc>
        <w:tc>
          <w:tcPr>
            <w:tcW w:w="709" w:type="dxa"/>
            <w:vAlign w:val="center"/>
          </w:tcPr>
          <w:p w14:paraId="128CB90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行政给付</w:t>
            </w:r>
          </w:p>
        </w:tc>
        <w:tc>
          <w:tcPr>
            <w:tcW w:w="4446" w:type="dxa"/>
            <w:vAlign w:val="center"/>
          </w:tcPr>
          <w:p w14:paraId="006AF03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《中华人民共和国军人地位和权益保障法》</w:t>
            </w:r>
            <w:r>
              <w:rPr>
                <w:rFonts w:hint="default" w:ascii="Times New Roman" w:hAnsi="Times New Roman" w:eastAsia="方正仿宋简体" w:cs="Times New Roman"/>
                <w:b w:val="0"/>
                <w:bCs w:val="0"/>
                <w:color w:val="auto"/>
                <w:spacing w:val="0"/>
                <w:kern w:val="2"/>
                <w:sz w:val="20"/>
                <w:szCs w:val="20"/>
                <w:u w:val="none"/>
                <w:lang w:val="en-US" w:eastAsia="zh-CN" w:bidi="ar-SA"/>
              </w:rPr>
              <w:t>第四十八条 国家实行军人死亡抚恤制度。</w:t>
            </w:r>
          </w:p>
          <w:p w14:paraId="3F1073D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军人死亡后被评定为烈士的，国家向烈士遗属颁发烈士证书，保障烈士遗属享受规定的烈士褒扬金、抚恤金和其他待遇。</w:t>
            </w:r>
          </w:p>
          <w:p w14:paraId="1459D15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2.</w:t>
            </w:r>
            <w:r>
              <w:rPr>
                <w:rFonts w:hint="default" w:ascii="Times New Roman" w:hAnsi="Times New Roman" w:eastAsia="方正仿宋简体" w:cs="Times New Roman"/>
                <w:b w:val="0"/>
                <w:bCs w:val="0"/>
                <w:color w:val="auto"/>
                <w:spacing w:val="0"/>
                <w:kern w:val="2"/>
                <w:sz w:val="20"/>
                <w:szCs w:val="20"/>
                <w:u w:val="none"/>
                <w:lang w:val="en-US" w:eastAsia="zh-CN" w:bidi="ar-SA"/>
              </w:rPr>
              <w:t>《烈士褒扬条例》第十</w:t>
            </w:r>
            <w:r>
              <w:rPr>
                <w:rFonts w:hint="eastAsia" w:ascii="Times New Roman" w:hAnsi="Times New Roman" w:eastAsia="方正仿宋简体" w:cs="Times New Roman"/>
                <w:b w:val="0"/>
                <w:bCs w:val="0"/>
                <w:color w:val="auto"/>
                <w:spacing w:val="0"/>
                <w:kern w:val="2"/>
                <w:sz w:val="20"/>
                <w:szCs w:val="20"/>
                <w:u w:val="none"/>
                <w:lang w:val="en-US" w:eastAsia="zh-CN" w:bidi="ar-SA"/>
              </w:rPr>
              <w:t>四</w:t>
            </w:r>
            <w:r>
              <w:rPr>
                <w:rFonts w:hint="default" w:ascii="Times New Roman" w:hAnsi="Times New Roman" w:eastAsia="方正仿宋简体" w:cs="Times New Roman"/>
                <w:b w:val="0"/>
                <w:bCs w:val="0"/>
                <w:color w:val="auto"/>
                <w:spacing w:val="0"/>
                <w:kern w:val="2"/>
                <w:sz w:val="20"/>
                <w:szCs w:val="20"/>
                <w:u w:val="none"/>
                <w:lang w:val="en-US" w:eastAsia="zh-CN" w:bidi="ar-SA"/>
              </w:rPr>
              <w:t>条 国家建立烈士褒扬金制度。烈士褒扬金标准为烈士牺牲时上一年度全国城镇居民人均可支配收入的30倍。战时，参战牺牲的烈士褒扬金标准可以适当提高。</w:t>
            </w:r>
          </w:p>
          <w:p w14:paraId="65DA776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烈士褒扬金由领取烈士证书</w:t>
            </w:r>
            <w:r>
              <w:rPr>
                <w:rFonts w:hint="eastAsia" w:ascii="Times New Roman" w:hAnsi="Times New Roman" w:eastAsia="方正仿宋简体" w:cs="Times New Roman"/>
                <w:b w:val="0"/>
                <w:bCs w:val="0"/>
                <w:color w:val="auto"/>
                <w:spacing w:val="0"/>
                <w:kern w:val="2"/>
                <w:sz w:val="20"/>
                <w:szCs w:val="20"/>
                <w:u w:val="none"/>
                <w:lang w:val="en-US" w:eastAsia="zh-CN" w:bidi="ar-SA"/>
              </w:rPr>
              <w:t>持有人户籍所在地</w:t>
            </w:r>
            <w:r>
              <w:rPr>
                <w:rFonts w:hint="default" w:ascii="Times New Roman" w:hAnsi="Times New Roman" w:eastAsia="方正仿宋简体" w:cs="Times New Roman"/>
                <w:b w:val="0"/>
                <w:bCs w:val="0"/>
                <w:color w:val="auto"/>
                <w:spacing w:val="0"/>
                <w:kern w:val="2"/>
                <w:sz w:val="20"/>
                <w:szCs w:val="20"/>
                <w:u w:val="none"/>
                <w:lang w:val="en-US" w:eastAsia="zh-CN" w:bidi="ar-SA"/>
              </w:rPr>
              <w:t>县级人民政府退役军人</w:t>
            </w:r>
            <w:r>
              <w:rPr>
                <w:rFonts w:hint="eastAsia" w:ascii="Times New Roman" w:hAnsi="Times New Roman" w:eastAsia="方正仿宋简体" w:cs="Times New Roman"/>
                <w:b w:val="0"/>
                <w:bCs w:val="0"/>
                <w:color w:val="auto"/>
                <w:spacing w:val="0"/>
                <w:kern w:val="2"/>
                <w:sz w:val="20"/>
                <w:szCs w:val="20"/>
                <w:u w:val="none"/>
                <w:lang w:val="en-US" w:eastAsia="zh-CN" w:bidi="ar-SA"/>
              </w:rPr>
              <w:t>工作主管</w:t>
            </w:r>
            <w:r>
              <w:rPr>
                <w:rFonts w:hint="default" w:ascii="Times New Roman" w:hAnsi="Times New Roman" w:eastAsia="方正仿宋简体" w:cs="Times New Roman"/>
                <w:b w:val="0"/>
                <w:bCs w:val="0"/>
                <w:color w:val="auto"/>
                <w:spacing w:val="0"/>
                <w:kern w:val="2"/>
                <w:sz w:val="20"/>
                <w:szCs w:val="20"/>
                <w:u w:val="none"/>
                <w:lang w:val="en-US" w:eastAsia="zh-CN" w:bidi="ar-SA"/>
              </w:rPr>
              <w:t>部门发给烈士的父母</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抚养人</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、配偶、子女；没有父母</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抚养人</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、配偶、子女的，发给烈士未满18周岁的兄弟姐妹和已满18周岁但无生活来源且由烈士生前供养的兄弟姐妹。</w:t>
            </w:r>
          </w:p>
          <w:p w14:paraId="57E041B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3</w:t>
            </w:r>
            <w:r>
              <w:rPr>
                <w:rFonts w:hint="default" w:ascii="Times New Roman" w:hAnsi="Times New Roman" w:eastAsia="方正仿宋简体" w:cs="Times New Roman"/>
                <w:b w:val="0"/>
                <w:bCs w:val="0"/>
                <w:color w:val="auto"/>
                <w:spacing w:val="0"/>
                <w:kern w:val="2"/>
                <w:sz w:val="20"/>
                <w:szCs w:val="20"/>
                <w:u w:val="none"/>
                <w:lang w:val="en-US" w:eastAsia="zh-CN" w:bidi="ar-SA"/>
              </w:rPr>
              <w:t>.《军人抚恤优待条例》</w:t>
            </w:r>
            <w:r>
              <w:rPr>
                <w:rFonts w:hint="eastAsia" w:ascii="Times New Roman" w:hAnsi="Times New Roman" w:eastAsia="方正仿宋简体" w:cs="Times New Roman"/>
                <w:b w:val="0"/>
                <w:bCs w:val="0"/>
                <w:color w:val="auto"/>
                <w:spacing w:val="0"/>
                <w:kern w:val="2"/>
                <w:sz w:val="20"/>
                <w:szCs w:val="20"/>
                <w:u w:val="none"/>
                <w:lang w:val="en-US" w:eastAsia="zh-CN" w:bidi="ar-SA"/>
              </w:rPr>
              <w:t>第十条 烈士遗属享受烈士褒扬金、一次性抚恤金，并可以按照规定享受定期抚恤金、丧葬补助、一次性特别抚恤金等。</w:t>
            </w:r>
          </w:p>
          <w:p w14:paraId="6FF6051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第十八条第一款：烈士褒扬金发给烈士的父母（抚养人）、配偶、子女；没有父母（抚养人）、配偶、子女的，发给未满18周岁的兄弟姐妹和已满18周岁但无生活费来源且由该军人生前供养的兄弟姐妹。</w:t>
            </w:r>
          </w:p>
        </w:tc>
        <w:tc>
          <w:tcPr>
            <w:tcW w:w="1841" w:type="dxa"/>
            <w:vAlign w:val="center"/>
          </w:tcPr>
          <w:p w14:paraId="34A193C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1.烈士是在2011年8月1日《烈士褒扬条例》实施后牺牲，且被评定为烈士；2.烈士健在的父母</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抚养人</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、配偶、子女；没有父母</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抚养人</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、配偶、子女的，有未满18周岁的兄弟姐妹和已满18周岁但无生活来源且由烈士生前供养的兄弟姐妹。</w:t>
            </w:r>
          </w:p>
          <w:p w14:paraId="1EFE812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2332" w:type="dxa"/>
            <w:vAlign w:val="center"/>
          </w:tcPr>
          <w:p w14:paraId="7634C7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1.完成烈士备案后，由中央财政下拨烈士褒扬金有关款项；</w:t>
            </w:r>
          </w:p>
          <w:p w14:paraId="7329A2E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2.将烈士褒扬金下拨至户籍所在地</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2C1CFEE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3.户籍所在地</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发放。</w:t>
            </w:r>
          </w:p>
          <w:p w14:paraId="11EA242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81" w:type="dxa"/>
            <w:vAlign w:val="center"/>
          </w:tcPr>
          <w:p w14:paraId="10D856C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自中央下拨烈士褒扬金至户籍所在地</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之日起20个工作日内发放。</w:t>
            </w:r>
          </w:p>
          <w:p w14:paraId="53AA372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558884D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96" w:type="dxa"/>
            <w:vAlign w:val="center"/>
          </w:tcPr>
          <w:p w14:paraId="53E2F0E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无</w:t>
            </w:r>
          </w:p>
        </w:tc>
      </w:tr>
      <w:tr w14:paraId="56B0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36E7FFC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6</w:t>
            </w:r>
          </w:p>
        </w:tc>
        <w:tc>
          <w:tcPr>
            <w:tcW w:w="791" w:type="dxa"/>
            <w:vAlign w:val="center"/>
          </w:tcPr>
          <w:p w14:paraId="242B32D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烈士遗属、因公牺牲军人遗属、病故军人遗属一次性抚恤金的发放</w:t>
            </w:r>
          </w:p>
        </w:tc>
        <w:tc>
          <w:tcPr>
            <w:tcW w:w="709" w:type="dxa"/>
            <w:vAlign w:val="center"/>
          </w:tcPr>
          <w:p w14:paraId="14504AE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行政给付</w:t>
            </w:r>
          </w:p>
        </w:tc>
        <w:tc>
          <w:tcPr>
            <w:tcW w:w="4446" w:type="dxa"/>
            <w:vAlign w:val="center"/>
          </w:tcPr>
          <w:p w14:paraId="471C483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1.《烈士褒扬条例》第十</w:t>
            </w:r>
            <w:r>
              <w:rPr>
                <w:rFonts w:hint="eastAsia" w:ascii="Times New Roman" w:hAnsi="Times New Roman" w:eastAsia="方正仿宋简体" w:cs="Times New Roman"/>
                <w:b w:val="0"/>
                <w:bCs w:val="0"/>
                <w:color w:val="auto"/>
                <w:spacing w:val="0"/>
                <w:kern w:val="2"/>
                <w:sz w:val="20"/>
                <w:szCs w:val="20"/>
                <w:u w:val="none"/>
                <w:lang w:val="en-US" w:eastAsia="zh-CN" w:bidi="ar-SA"/>
              </w:rPr>
              <w:t>六</w:t>
            </w:r>
            <w:r>
              <w:rPr>
                <w:rFonts w:hint="default" w:ascii="Times New Roman" w:hAnsi="Times New Roman" w:eastAsia="方正仿宋简体" w:cs="Times New Roman"/>
                <w:b w:val="0"/>
                <w:bCs w:val="0"/>
                <w:color w:val="auto"/>
                <w:spacing w:val="0"/>
                <w:kern w:val="2"/>
                <w:sz w:val="20"/>
                <w:szCs w:val="20"/>
                <w:u w:val="none"/>
                <w:lang w:val="en-US" w:eastAsia="zh-CN" w:bidi="ar-SA"/>
              </w:rPr>
              <w:t>条 烈士遗属除享受本条例第十</w:t>
            </w:r>
            <w:r>
              <w:rPr>
                <w:rFonts w:hint="eastAsia" w:ascii="Times New Roman" w:hAnsi="Times New Roman" w:eastAsia="方正仿宋简体" w:cs="Times New Roman"/>
                <w:b w:val="0"/>
                <w:bCs w:val="0"/>
                <w:color w:val="auto"/>
                <w:spacing w:val="0"/>
                <w:kern w:val="2"/>
                <w:sz w:val="20"/>
                <w:szCs w:val="20"/>
                <w:u w:val="none"/>
                <w:lang w:val="en-US" w:eastAsia="zh-CN" w:bidi="ar-SA"/>
              </w:rPr>
              <w:t>五</w:t>
            </w:r>
            <w:r>
              <w:rPr>
                <w:rFonts w:hint="default" w:ascii="Times New Roman" w:hAnsi="Times New Roman" w:eastAsia="方正仿宋简体" w:cs="Times New Roman"/>
                <w:b w:val="0"/>
                <w:bCs w:val="0"/>
                <w:color w:val="auto"/>
                <w:spacing w:val="0"/>
                <w:kern w:val="2"/>
                <w:sz w:val="20"/>
                <w:szCs w:val="20"/>
                <w:u w:val="none"/>
                <w:lang w:val="en-US" w:eastAsia="zh-CN" w:bidi="ar-SA"/>
              </w:rPr>
              <w:t>条规定的烈士褒扬金外，属于《军人抚恤优待条例》以及相关规定适用范围的，还</w:t>
            </w:r>
            <w:r>
              <w:rPr>
                <w:rFonts w:hint="eastAsia" w:ascii="Times New Roman" w:hAnsi="Times New Roman" w:eastAsia="方正仿宋简体" w:cs="Times New Roman"/>
                <w:b w:val="0"/>
                <w:bCs w:val="0"/>
                <w:color w:val="auto"/>
                <w:spacing w:val="0"/>
                <w:kern w:val="2"/>
                <w:sz w:val="20"/>
                <w:szCs w:val="20"/>
                <w:u w:val="none"/>
                <w:lang w:val="en-US" w:eastAsia="zh-CN" w:bidi="ar-SA"/>
              </w:rPr>
              <w:t>按照规定</w:t>
            </w:r>
            <w:r>
              <w:rPr>
                <w:rFonts w:hint="default" w:ascii="Times New Roman" w:hAnsi="Times New Roman" w:eastAsia="方正仿宋简体" w:cs="Times New Roman"/>
                <w:b w:val="0"/>
                <w:bCs w:val="0"/>
                <w:color w:val="auto"/>
                <w:spacing w:val="0"/>
                <w:kern w:val="2"/>
                <w:sz w:val="20"/>
                <w:szCs w:val="20"/>
                <w:u w:val="none"/>
                <w:lang w:val="en-US" w:eastAsia="zh-CN" w:bidi="ar-SA"/>
              </w:rPr>
              <w:t>享受一次性抚恤金；</w:t>
            </w:r>
            <w:r>
              <w:rPr>
                <w:rFonts w:hint="eastAsia" w:ascii="Times New Roman" w:hAnsi="Times New Roman" w:eastAsia="方正仿宋简体" w:cs="Times New Roman"/>
                <w:b w:val="0"/>
                <w:bCs w:val="0"/>
                <w:color w:val="auto"/>
                <w:spacing w:val="0"/>
                <w:kern w:val="2"/>
                <w:sz w:val="20"/>
                <w:szCs w:val="20"/>
                <w:u w:val="none"/>
                <w:lang w:val="en-US" w:eastAsia="zh-CN" w:bidi="ar-SA"/>
              </w:rPr>
              <w:t>标准为烈士牺牲时上一年度全国城镇居民人均可支配收入的20倍家烈士</w:t>
            </w:r>
            <w:r>
              <w:rPr>
                <w:rFonts w:hint="default" w:ascii="Times New Roman" w:hAnsi="Times New Roman" w:eastAsia="方正仿宋简体" w:cs="Times New Roman"/>
                <w:b w:val="0"/>
                <w:bCs w:val="0"/>
                <w:color w:val="auto"/>
                <w:spacing w:val="0"/>
                <w:kern w:val="2"/>
                <w:sz w:val="20"/>
                <w:szCs w:val="20"/>
                <w:u w:val="none"/>
                <w:lang w:val="en-US" w:eastAsia="zh-CN" w:bidi="ar-SA"/>
              </w:rPr>
              <w:t>本人40个月</w:t>
            </w:r>
            <w:r>
              <w:rPr>
                <w:rFonts w:hint="eastAsia" w:ascii="Times New Roman" w:hAnsi="Times New Roman" w:eastAsia="方正仿宋简体" w:cs="Times New Roman"/>
                <w:b w:val="0"/>
                <w:bCs w:val="0"/>
                <w:color w:val="auto"/>
                <w:spacing w:val="0"/>
                <w:kern w:val="2"/>
                <w:sz w:val="20"/>
                <w:szCs w:val="20"/>
                <w:u w:val="none"/>
                <w:lang w:val="en-US" w:eastAsia="zh-CN" w:bidi="ar-SA"/>
              </w:rPr>
              <w:t>的基本</w:t>
            </w:r>
            <w:r>
              <w:rPr>
                <w:rFonts w:hint="default" w:ascii="Times New Roman" w:hAnsi="Times New Roman" w:eastAsia="方正仿宋简体" w:cs="Times New Roman"/>
                <w:b w:val="0"/>
                <w:bCs w:val="0"/>
                <w:color w:val="auto"/>
                <w:spacing w:val="0"/>
                <w:kern w:val="2"/>
                <w:sz w:val="20"/>
                <w:szCs w:val="20"/>
                <w:u w:val="none"/>
                <w:lang w:val="en-US" w:eastAsia="zh-CN" w:bidi="ar-SA"/>
              </w:rPr>
              <w:t>工资</w:t>
            </w:r>
            <w:r>
              <w:rPr>
                <w:rFonts w:hint="eastAsia" w:ascii="Times New Roman" w:hAnsi="Times New Roman" w:eastAsia="方正仿宋简体" w:cs="Times New Roman"/>
                <w:b w:val="0"/>
                <w:bCs w:val="0"/>
                <w:color w:val="auto"/>
                <w:spacing w:val="0"/>
                <w:kern w:val="2"/>
                <w:sz w:val="20"/>
                <w:szCs w:val="20"/>
                <w:u w:val="none"/>
                <w:lang w:val="en-US" w:eastAsia="zh-CN" w:bidi="ar-SA"/>
              </w:rPr>
              <w:t>，由县级人民政府退役军人工作主管部门发放；属于《工伤保险条例》以及相关规定适用范围的，还按照规定享受一次性工亡补助金以及相当于烈士本人40个月基本工资的烈士遗属特别补助金，其中一次性工亡补助金按照《工伤保险条例》规定发放，烈士遗属特别补助金由县级人民政府退役军人工作主管部门发放</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2CDE45B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不属于前款规定范围的烈士遗属，由县级人民政府退役军人</w:t>
            </w:r>
            <w:r>
              <w:rPr>
                <w:rFonts w:hint="eastAsia" w:ascii="Times New Roman" w:hAnsi="Times New Roman" w:eastAsia="方正仿宋简体" w:cs="Times New Roman"/>
                <w:b w:val="0"/>
                <w:bCs w:val="0"/>
                <w:color w:val="auto"/>
                <w:spacing w:val="0"/>
                <w:kern w:val="2"/>
                <w:sz w:val="20"/>
                <w:szCs w:val="20"/>
                <w:u w:val="none"/>
                <w:lang w:val="en-US" w:eastAsia="zh-CN" w:bidi="ar-SA"/>
              </w:rPr>
              <w:t>工作主管</w:t>
            </w:r>
            <w:r>
              <w:rPr>
                <w:rFonts w:hint="default" w:ascii="Times New Roman" w:hAnsi="Times New Roman" w:eastAsia="方正仿宋简体" w:cs="Times New Roman"/>
                <w:b w:val="0"/>
                <w:bCs w:val="0"/>
                <w:color w:val="auto"/>
                <w:spacing w:val="0"/>
                <w:kern w:val="2"/>
                <w:sz w:val="20"/>
                <w:szCs w:val="20"/>
                <w:u w:val="none"/>
                <w:lang w:val="en-US" w:eastAsia="zh-CN" w:bidi="ar-SA"/>
              </w:rPr>
              <w:t>部门发给一次性抚恤金，标准为烈士牺牲时上一年度全国城镇居民人均可支配收入的20倍加40个月的中国人民解放军少尉军官</w:t>
            </w:r>
            <w:r>
              <w:rPr>
                <w:rFonts w:hint="eastAsia" w:ascii="Times New Roman" w:hAnsi="Times New Roman" w:eastAsia="方正仿宋简体" w:cs="Times New Roman"/>
                <w:b w:val="0"/>
                <w:bCs w:val="0"/>
                <w:color w:val="auto"/>
                <w:spacing w:val="0"/>
                <w:kern w:val="2"/>
                <w:sz w:val="20"/>
                <w:szCs w:val="20"/>
                <w:u w:val="none"/>
                <w:lang w:val="en-US" w:eastAsia="zh-CN" w:bidi="ar-SA"/>
              </w:rPr>
              <w:t>基本</w:t>
            </w:r>
            <w:r>
              <w:rPr>
                <w:rFonts w:hint="default" w:ascii="Times New Roman" w:hAnsi="Times New Roman" w:eastAsia="方正仿宋简体" w:cs="Times New Roman"/>
                <w:b w:val="0"/>
                <w:bCs w:val="0"/>
                <w:color w:val="auto"/>
                <w:spacing w:val="0"/>
                <w:kern w:val="2"/>
                <w:sz w:val="20"/>
                <w:szCs w:val="20"/>
                <w:u w:val="none"/>
                <w:lang w:val="en-US" w:eastAsia="zh-CN" w:bidi="ar-SA"/>
              </w:rPr>
              <w:t>工资。</w:t>
            </w:r>
          </w:p>
          <w:p w14:paraId="05E08DE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2.</w:t>
            </w:r>
            <w:r>
              <w:rPr>
                <w:rFonts w:hint="default" w:ascii="Times New Roman" w:hAnsi="Times New Roman" w:eastAsia="方正仿宋简体" w:cs="Times New Roman"/>
                <w:b w:val="0"/>
                <w:bCs w:val="0"/>
                <w:color w:val="auto"/>
                <w:spacing w:val="0"/>
                <w:kern w:val="2"/>
                <w:sz w:val="20"/>
                <w:szCs w:val="20"/>
                <w:u w:val="none"/>
                <w:lang w:val="en-US" w:eastAsia="zh-CN" w:bidi="ar-SA"/>
              </w:rPr>
              <w:t>《军人抚恤优待条例》第十条</w:t>
            </w:r>
            <w:r>
              <w:rPr>
                <w:rFonts w:hint="eastAsia" w:ascii="Times New Roman" w:hAnsi="Times New Roman" w:eastAsia="方正仿宋简体" w:cs="Times New Roman"/>
                <w:b w:val="0"/>
                <w:bCs w:val="0"/>
                <w:color w:val="auto"/>
                <w:spacing w:val="0"/>
                <w:kern w:val="2"/>
                <w:sz w:val="20"/>
                <w:szCs w:val="20"/>
                <w:u w:val="none"/>
                <w:lang w:val="en-US" w:eastAsia="zh-CN" w:bidi="ar-SA"/>
              </w:rPr>
              <w:t>第二款：因公牺牲军人遗属、病故军人遗属享受一次性抚恤金，并可以按照规定享受定期抚恤金、丧葬补助、一次性特别抚恤金等。第十五条第二款：军人死亡，根据其死亡性质和死亡时的月基本工资标准，由收到《烈士评定通知书》、《军人因公牺牲通知书》、《军人病故通知书》的县级人民政府退役军人工作主管部门，按照以下标准发给其遗属一次性抚恤金：烈士和因公牺牲的，为上一年度全国城镇居民人均可支配收入的20倍加本人40个月的基本工资；病故的，为上一年度全国城镇居民人均可支配收入的2倍加本人40个月的基本工资。月基本工资或者津贴低于少尉军官基本工资标准的，按照少尉军官基本工资标准计算。被追授军衔的，按照所追授的军衔等级以及相应待遇级别确定月基本工资标准。</w:t>
            </w:r>
          </w:p>
          <w:p w14:paraId="1CDCF39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第十六条 服现役期间获得功勋荣誉表彰的军人被评定为烈士、确认为因公牺牲或者病故的，其遗属在应当享受的一次性抚恤金的基础上，由县级人民政府退役军人工作主管部门按照下列比例增发一次性抚恤金：</w:t>
            </w:r>
          </w:p>
          <w:p w14:paraId="2373A1C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（一）获得勋章或者国家荣誉称号的，增发40%；</w:t>
            </w:r>
          </w:p>
          <w:p w14:paraId="28C8233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（二）获得党中央、国务院、中央军事委员会单独或者联合授予荣誉称号的，增发35%；</w:t>
            </w:r>
          </w:p>
          <w:p w14:paraId="4EBFF39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（三）立一等战功、获得一级表彰或者获得中央军事委员会授权的单位授予荣誉称号的，增发30%；</w:t>
            </w:r>
          </w:p>
          <w:p w14:paraId="6DD3660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（四）立二等战功、一等功或者获得二级表彰并经批准的，增发25%；</w:t>
            </w:r>
          </w:p>
          <w:p w14:paraId="43A3AE7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（五）立三等战功或者二等功的，增发15%；</w:t>
            </w:r>
          </w:p>
          <w:p w14:paraId="34F1088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（六）立四等战功或者三等功的，增发5%。</w:t>
            </w:r>
          </w:p>
          <w:p w14:paraId="11F4B96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军人死亡后被追授功勋荣誉表彰的，比照前款规定增发一次性抚恤金。</w:t>
            </w:r>
          </w:p>
          <w:p w14:paraId="51CE2DF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服现役期间多次获得功勋荣誉表彰的烈士、因公牺牲军人、病故军人，其遗属由县级人民政府退役军人工作主管部门按照其中最高的增发比例，增发一次性抚恤金。</w:t>
            </w:r>
          </w:p>
          <w:p w14:paraId="60C480D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第十八条第二款：一次性抚恤金发给烈士遗属、因公牺牲军人遗属、病故军人遗属，遗属的范围按照前款规定确定。</w:t>
            </w:r>
          </w:p>
          <w:p w14:paraId="1BAF384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西藏自治区人民政府办公厅转发自治区民政厅等部门关于调整国家机关工作人员及离退休人员牺牲病故后一次性抚恤金发放办法的通知》：一次性抚恤金发放标准。自2004年10月1日起，国家机关工作人员及离退休人员死亡，一次性抚恤金按照以下标准执行：（1）革命烈士，为本人生前80个月工资或离退休费；（2）因公牺牲，为本人生前40个月工资或离退休费；（3）病故（包括其他非因公原因死亡），生前20个月工资或离退休费。</w:t>
            </w:r>
          </w:p>
        </w:tc>
        <w:tc>
          <w:tcPr>
            <w:tcW w:w="1841" w:type="dxa"/>
            <w:vAlign w:val="center"/>
          </w:tcPr>
          <w:p w14:paraId="5F270CF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1.牺牲后被依法</w:t>
            </w:r>
            <w:r>
              <w:rPr>
                <w:rFonts w:hint="eastAsia" w:ascii="Times New Roman" w:hAnsi="Times New Roman" w:eastAsia="方正仿宋简体" w:cs="Times New Roman"/>
                <w:b w:val="0"/>
                <w:bCs w:val="0"/>
                <w:color w:val="auto"/>
                <w:spacing w:val="0"/>
                <w:kern w:val="2"/>
                <w:sz w:val="20"/>
                <w:szCs w:val="20"/>
                <w:u w:val="none"/>
                <w:lang w:val="en-US" w:eastAsia="zh-CN" w:bidi="ar-SA"/>
              </w:rPr>
              <w:t>追认</w:t>
            </w:r>
            <w:r>
              <w:rPr>
                <w:rFonts w:hint="default" w:ascii="Times New Roman" w:hAnsi="Times New Roman" w:eastAsia="方正仿宋简体" w:cs="Times New Roman"/>
                <w:b w:val="0"/>
                <w:bCs w:val="0"/>
                <w:color w:val="auto"/>
                <w:spacing w:val="0"/>
                <w:kern w:val="2"/>
                <w:sz w:val="20"/>
                <w:szCs w:val="20"/>
                <w:u w:val="none"/>
                <w:lang w:val="en-US" w:eastAsia="zh-CN" w:bidi="ar-SA"/>
              </w:rPr>
              <w:t>为烈士的；现役军人经军队有权政治机关确认因公牺牲、病故</w:t>
            </w:r>
            <w:r>
              <w:rPr>
                <w:rFonts w:hint="eastAsia" w:ascii="Times New Roman" w:hAnsi="Times New Roman" w:eastAsia="方正仿宋简体" w:cs="Times New Roman"/>
                <w:b w:val="0"/>
                <w:bCs w:val="0"/>
                <w:color w:val="auto"/>
                <w:spacing w:val="0"/>
                <w:kern w:val="2"/>
                <w:sz w:val="20"/>
                <w:szCs w:val="20"/>
                <w:u w:val="none"/>
                <w:lang w:val="en-US" w:eastAsia="zh-CN" w:bidi="ar-SA"/>
              </w:rPr>
              <w:t>的</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6AEFE64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2.烈士遗属、因公牺牲军人遗属、病故军人遗属中的父母</w:t>
            </w:r>
            <w:r>
              <w:rPr>
                <w:rFonts w:hint="eastAsia" w:ascii="Times New Roman" w:hAnsi="Times New Roman" w:eastAsia="方正仿宋简体" w:cs="Times New Roman"/>
                <w:b w:val="0"/>
                <w:bCs w:val="0"/>
                <w:color w:val="auto"/>
                <w:spacing w:val="0"/>
                <w:kern w:val="2"/>
                <w:sz w:val="20"/>
                <w:szCs w:val="20"/>
                <w:u w:val="none"/>
                <w:lang w:val="en-US" w:eastAsia="zh-CN" w:bidi="ar-SA"/>
              </w:rPr>
              <w:t>（抚养人）</w:t>
            </w:r>
            <w:r>
              <w:rPr>
                <w:rFonts w:hint="default" w:ascii="Times New Roman" w:hAnsi="Times New Roman" w:eastAsia="方正仿宋简体" w:cs="Times New Roman"/>
                <w:b w:val="0"/>
                <w:bCs w:val="0"/>
                <w:color w:val="auto"/>
                <w:spacing w:val="0"/>
                <w:kern w:val="2"/>
                <w:sz w:val="20"/>
                <w:szCs w:val="20"/>
                <w:u w:val="none"/>
                <w:lang w:val="en-US" w:eastAsia="zh-CN" w:bidi="ar-SA"/>
              </w:rPr>
              <w:t>、配偶无劳动能力、无生活来源，或者收入水平低于当地居民的平均生活水平的；子女未满18周岁或者已满18周岁但因上学或者残疾无生活费来源的；兄弟姐妹未满18周岁或者已满18周岁但因上学无生活费来源且由烈士或者因公牺牲、病故军人生前供养的。</w:t>
            </w:r>
          </w:p>
          <w:p w14:paraId="0D50F3F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2332" w:type="dxa"/>
            <w:vAlign w:val="center"/>
          </w:tcPr>
          <w:p w14:paraId="489565E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1.烈士遗属、因公牺牲、病故军人遗属向其</w:t>
            </w:r>
            <w:r>
              <w:rPr>
                <w:rFonts w:hint="eastAsia" w:ascii="Times New Roman" w:hAnsi="Times New Roman" w:eastAsia="方正仿宋简体" w:cs="Times New Roman"/>
                <w:b w:val="0"/>
                <w:bCs w:val="0"/>
                <w:color w:val="auto"/>
                <w:spacing w:val="0"/>
                <w:kern w:val="2"/>
                <w:sz w:val="20"/>
                <w:szCs w:val="20"/>
                <w:u w:val="none"/>
                <w:lang w:val="en-US" w:eastAsia="zh-CN" w:bidi="ar-SA"/>
              </w:rPr>
              <w:t>户籍</w:t>
            </w:r>
            <w:r>
              <w:rPr>
                <w:rFonts w:hint="default" w:ascii="Times New Roman" w:hAnsi="Times New Roman" w:eastAsia="方正仿宋简体" w:cs="Times New Roman"/>
                <w:b w:val="0"/>
                <w:bCs w:val="0"/>
                <w:color w:val="auto"/>
                <w:spacing w:val="0"/>
                <w:kern w:val="2"/>
                <w:sz w:val="20"/>
                <w:szCs w:val="20"/>
                <w:u w:val="none"/>
                <w:lang w:val="en-US" w:eastAsia="zh-CN" w:bidi="ar-SA"/>
              </w:rPr>
              <w:t>所在地县级人民政府</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提出申请；</w:t>
            </w:r>
          </w:p>
          <w:p w14:paraId="5D1EEAC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2.县级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审核；</w:t>
            </w:r>
          </w:p>
          <w:p w14:paraId="4222AA9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3.县级财政部门审核、拨付资金；</w:t>
            </w:r>
          </w:p>
          <w:p w14:paraId="634FD05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4.代发金融机构将资金发放到烈士遗属、因公牺牲、病故军人遗属个人指定账户。</w:t>
            </w:r>
          </w:p>
          <w:p w14:paraId="165A481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81" w:type="dxa"/>
            <w:vAlign w:val="center"/>
          </w:tcPr>
          <w:p w14:paraId="59A4BF3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财政部门审核拨付资金后</w:t>
            </w:r>
            <w:r>
              <w:rPr>
                <w:rFonts w:hint="default" w:ascii="Times New Roman" w:hAnsi="Times New Roman" w:eastAsia="方正仿宋简体" w:cs="Times New Roman"/>
                <w:b w:val="0"/>
                <w:bCs w:val="0"/>
                <w:color w:val="auto"/>
                <w:spacing w:val="0"/>
                <w:kern w:val="2"/>
                <w:sz w:val="20"/>
                <w:szCs w:val="20"/>
                <w:u w:val="none"/>
                <w:lang w:val="en-US" w:eastAsia="zh-CN" w:bidi="ar-SA"/>
              </w:rPr>
              <w:t>60个工作日内发放。</w:t>
            </w:r>
          </w:p>
          <w:p w14:paraId="2465846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96" w:type="dxa"/>
            <w:vAlign w:val="center"/>
          </w:tcPr>
          <w:p w14:paraId="6A34560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5566008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1.申请书；</w:t>
            </w:r>
          </w:p>
          <w:p w14:paraId="3A3CB4E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2.烈士证书、因公牺牲、病故军人证明书；</w:t>
            </w:r>
          </w:p>
          <w:p w14:paraId="781E854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3.申请人与烈士、因公牺牲、病故军人关系证明；</w:t>
            </w:r>
          </w:p>
          <w:p w14:paraId="17DF126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4.多个有权申请人之间签订的分配协议书；</w:t>
            </w:r>
          </w:p>
          <w:p w14:paraId="612C613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5</w:t>
            </w: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经申请人确认的</w:t>
            </w:r>
            <w:r>
              <w:rPr>
                <w:rFonts w:hint="default" w:ascii="Times New Roman" w:hAnsi="Times New Roman" w:eastAsia="方正仿宋简体" w:cs="Times New Roman"/>
                <w:b w:val="0"/>
                <w:bCs w:val="0"/>
                <w:color w:val="auto"/>
                <w:spacing w:val="0"/>
                <w:kern w:val="2"/>
                <w:sz w:val="20"/>
                <w:szCs w:val="20"/>
                <w:u w:val="none"/>
                <w:lang w:val="en-US" w:eastAsia="zh-CN" w:bidi="ar-SA"/>
              </w:rPr>
              <w:t>银行卡</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存折账户</w:t>
            </w:r>
            <w:r>
              <w:rPr>
                <w:rFonts w:hint="eastAsia" w:ascii="Times New Roman" w:hAnsi="Times New Roman" w:eastAsia="方正仿宋简体" w:cs="Times New Roman"/>
                <w:b w:val="0"/>
                <w:bCs w:val="0"/>
                <w:color w:val="auto"/>
                <w:spacing w:val="0"/>
                <w:kern w:val="2"/>
                <w:sz w:val="20"/>
                <w:szCs w:val="20"/>
                <w:u w:val="none"/>
                <w:lang w:val="en-US" w:eastAsia="zh-CN" w:bidi="ar-SA"/>
              </w:rPr>
              <w:t>等合法银行账户</w:t>
            </w:r>
            <w:r>
              <w:rPr>
                <w:rFonts w:hint="default" w:ascii="Times New Roman" w:hAnsi="Times New Roman" w:eastAsia="方正仿宋简体" w:cs="Times New Roman"/>
                <w:b w:val="0"/>
                <w:bCs w:val="0"/>
                <w:color w:val="auto"/>
                <w:spacing w:val="0"/>
                <w:kern w:val="2"/>
                <w:sz w:val="20"/>
                <w:szCs w:val="20"/>
                <w:u w:val="none"/>
                <w:lang w:val="en-US" w:eastAsia="zh-CN" w:bidi="ar-SA"/>
              </w:rPr>
              <w:t>信息。</w:t>
            </w:r>
          </w:p>
          <w:p w14:paraId="7B2F6D8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r>
      <w:tr w14:paraId="37D0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7" w:hRule="atLeast"/>
        </w:trPr>
        <w:tc>
          <w:tcPr>
            <w:tcW w:w="668" w:type="dxa"/>
            <w:vAlign w:val="center"/>
          </w:tcPr>
          <w:p w14:paraId="4E265D6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7</w:t>
            </w:r>
          </w:p>
        </w:tc>
        <w:tc>
          <w:tcPr>
            <w:tcW w:w="791" w:type="dxa"/>
            <w:vAlign w:val="center"/>
          </w:tcPr>
          <w:p w14:paraId="546EFFE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烈士遗属、因公牺牲军人遗属、病故军人遗属定期抚恤金的发放</w:t>
            </w:r>
          </w:p>
        </w:tc>
        <w:tc>
          <w:tcPr>
            <w:tcW w:w="709" w:type="dxa"/>
            <w:vAlign w:val="center"/>
          </w:tcPr>
          <w:p w14:paraId="4743DE1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行政给付</w:t>
            </w:r>
          </w:p>
        </w:tc>
        <w:tc>
          <w:tcPr>
            <w:tcW w:w="4446" w:type="dxa"/>
            <w:vAlign w:val="center"/>
          </w:tcPr>
          <w:p w14:paraId="31D995C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18"/>
                <w:szCs w:val="18"/>
                <w:u w:val="none"/>
                <w:lang w:val="en-US" w:eastAsia="zh-CN" w:bidi="ar-SA"/>
              </w:rPr>
            </w:pPr>
            <w:r>
              <w:rPr>
                <w:rFonts w:hint="default" w:ascii="Times New Roman" w:hAnsi="Times New Roman" w:eastAsia="方正仿宋简体" w:cs="Times New Roman"/>
                <w:b w:val="0"/>
                <w:bCs w:val="0"/>
                <w:color w:val="auto"/>
                <w:spacing w:val="0"/>
                <w:kern w:val="2"/>
                <w:sz w:val="18"/>
                <w:szCs w:val="18"/>
                <w:u w:val="none"/>
                <w:lang w:val="en-US" w:eastAsia="zh-CN" w:bidi="ar-SA"/>
              </w:rPr>
              <w:t>1.《烈士褒扬条例》第十</w:t>
            </w:r>
            <w:r>
              <w:rPr>
                <w:rFonts w:hint="eastAsia" w:ascii="Times New Roman" w:hAnsi="Times New Roman" w:eastAsia="方正仿宋简体" w:cs="Times New Roman"/>
                <w:b w:val="0"/>
                <w:bCs w:val="0"/>
                <w:color w:val="auto"/>
                <w:spacing w:val="0"/>
                <w:kern w:val="2"/>
                <w:sz w:val="18"/>
                <w:szCs w:val="18"/>
                <w:u w:val="none"/>
                <w:lang w:val="en-US" w:eastAsia="zh-CN" w:bidi="ar-SA"/>
              </w:rPr>
              <w:t>七</w:t>
            </w:r>
            <w:r>
              <w:rPr>
                <w:rFonts w:hint="default" w:ascii="Times New Roman" w:hAnsi="Times New Roman" w:eastAsia="方正仿宋简体" w:cs="Times New Roman"/>
                <w:b w:val="0"/>
                <w:bCs w:val="0"/>
                <w:color w:val="auto"/>
                <w:spacing w:val="0"/>
                <w:kern w:val="2"/>
                <w:sz w:val="18"/>
                <w:szCs w:val="18"/>
                <w:u w:val="none"/>
                <w:lang w:val="en-US" w:eastAsia="zh-CN" w:bidi="ar-SA"/>
              </w:rPr>
              <w:t>条 符合下列条件之一的烈士遗属，</w:t>
            </w:r>
            <w:r>
              <w:rPr>
                <w:rFonts w:hint="eastAsia" w:ascii="Times New Roman" w:hAnsi="Times New Roman" w:eastAsia="方正仿宋简体" w:cs="Times New Roman"/>
                <w:b w:val="0"/>
                <w:bCs w:val="0"/>
                <w:color w:val="auto"/>
                <w:spacing w:val="0"/>
                <w:kern w:val="2"/>
                <w:sz w:val="18"/>
                <w:szCs w:val="18"/>
                <w:u w:val="none"/>
                <w:lang w:val="en-US" w:eastAsia="zh-CN" w:bidi="ar-SA"/>
              </w:rPr>
              <w:t>还可</w:t>
            </w:r>
            <w:r>
              <w:rPr>
                <w:rFonts w:hint="default" w:ascii="Times New Roman" w:hAnsi="Times New Roman" w:eastAsia="方正仿宋简体" w:cs="Times New Roman"/>
                <w:b w:val="0"/>
                <w:bCs w:val="0"/>
                <w:color w:val="auto"/>
                <w:spacing w:val="0"/>
                <w:kern w:val="2"/>
                <w:sz w:val="18"/>
                <w:szCs w:val="18"/>
                <w:u w:val="none"/>
                <w:lang w:val="en-US" w:eastAsia="zh-CN" w:bidi="ar-SA"/>
              </w:rPr>
              <w:t>享受定期抚恤金：</w:t>
            </w:r>
          </w:p>
          <w:p w14:paraId="2002A6E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18"/>
                <w:szCs w:val="18"/>
                <w:u w:val="none"/>
                <w:lang w:val="en-US" w:eastAsia="zh-CN" w:bidi="ar-SA"/>
              </w:rPr>
            </w:pPr>
            <w:r>
              <w:rPr>
                <w:rFonts w:hint="default" w:ascii="Times New Roman" w:hAnsi="Times New Roman" w:eastAsia="方正仿宋简体" w:cs="Times New Roman"/>
                <w:b w:val="0"/>
                <w:bCs w:val="0"/>
                <w:color w:val="auto"/>
                <w:spacing w:val="0"/>
                <w:kern w:val="2"/>
                <w:sz w:val="18"/>
                <w:szCs w:val="18"/>
                <w:u w:val="none"/>
                <w:lang w:val="en-US" w:eastAsia="zh-CN" w:bidi="ar-SA"/>
              </w:rPr>
              <w:t>（</w:t>
            </w:r>
            <w:r>
              <w:rPr>
                <w:rFonts w:hint="eastAsia" w:ascii="Times New Roman" w:hAnsi="Times New Roman" w:eastAsia="方正仿宋简体" w:cs="Times New Roman"/>
                <w:b w:val="0"/>
                <w:bCs w:val="0"/>
                <w:color w:val="auto"/>
                <w:spacing w:val="0"/>
                <w:kern w:val="2"/>
                <w:sz w:val="18"/>
                <w:szCs w:val="18"/>
                <w:u w:val="none"/>
                <w:lang w:val="en-US" w:eastAsia="zh-CN" w:bidi="ar-SA"/>
              </w:rPr>
              <w:t>一</w:t>
            </w:r>
            <w:r>
              <w:rPr>
                <w:rFonts w:hint="default" w:ascii="Times New Roman" w:hAnsi="Times New Roman" w:eastAsia="方正仿宋简体" w:cs="Times New Roman"/>
                <w:b w:val="0"/>
                <w:bCs w:val="0"/>
                <w:color w:val="auto"/>
                <w:spacing w:val="0"/>
                <w:kern w:val="2"/>
                <w:sz w:val="18"/>
                <w:szCs w:val="18"/>
                <w:u w:val="none"/>
                <w:lang w:val="en-US" w:eastAsia="zh-CN" w:bidi="ar-SA"/>
              </w:rPr>
              <w:t>）烈士的父母</w:t>
            </w:r>
            <w:r>
              <w:rPr>
                <w:rFonts w:hint="eastAsia" w:ascii="Times New Roman" w:hAnsi="Times New Roman" w:eastAsia="方正仿宋简体" w:cs="Times New Roman"/>
                <w:b w:val="0"/>
                <w:bCs w:val="0"/>
                <w:color w:val="auto"/>
                <w:spacing w:val="0"/>
                <w:kern w:val="2"/>
                <w:sz w:val="18"/>
                <w:szCs w:val="18"/>
                <w:u w:val="none"/>
                <w:lang w:val="en-US" w:eastAsia="zh-CN" w:bidi="ar-SA"/>
              </w:rPr>
              <w:t>（</w:t>
            </w:r>
            <w:r>
              <w:rPr>
                <w:rFonts w:hint="default" w:ascii="Times New Roman" w:hAnsi="Times New Roman" w:eastAsia="方正仿宋简体" w:cs="Times New Roman"/>
                <w:b w:val="0"/>
                <w:bCs w:val="0"/>
                <w:color w:val="auto"/>
                <w:spacing w:val="0"/>
                <w:kern w:val="2"/>
                <w:sz w:val="18"/>
                <w:szCs w:val="18"/>
                <w:u w:val="none"/>
                <w:lang w:val="en-US" w:eastAsia="zh-CN" w:bidi="ar-SA"/>
              </w:rPr>
              <w:t>抚养人</w:t>
            </w:r>
            <w:r>
              <w:rPr>
                <w:rFonts w:hint="eastAsia" w:ascii="Times New Roman" w:hAnsi="Times New Roman" w:eastAsia="方正仿宋简体" w:cs="Times New Roman"/>
                <w:b w:val="0"/>
                <w:bCs w:val="0"/>
                <w:color w:val="auto"/>
                <w:spacing w:val="0"/>
                <w:kern w:val="2"/>
                <w:sz w:val="18"/>
                <w:szCs w:val="18"/>
                <w:u w:val="none"/>
                <w:lang w:val="en-US" w:eastAsia="zh-CN" w:bidi="ar-SA"/>
              </w:rPr>
              <w:t>）</w:t>
            </w:r>
            <w:r>
              <w:rPr>
                <w:rFonts w:hint="default" w:ascii="Times New Roman" w:hAnsi="Times New Roman" w:eastAsia="方正仿宋简体" w:cs="Times New Roman"/>
                <w:b w:val="0"/>
                <w:bCs w:val="0"/>
                <w:color w:val="auto"/>
                <w:spacing w:val="0"/>
                <w:kern w:val="2"/>
                <w:sz w:val="18"/>
                <w:szCs w:val="18"/>
                <w:u w:val="none"/>
                <w:lang w:val="en-US" w:eastAsia="zh-CN" w:bidi="ar-SA"/>
              </w:rPr>
              <w:t>、配偶无劳动能力、无生活</w:t>
            </w:r>
            <w:r>
              <w:rPr>
                <w:rFonts w:hint="eastAsia" w:ascii="Times New Roman" w:hAnsi="Times New Roman" w:eastAsia="方正仿宋简体" w:cs="Times New Roman"/>
                <w:b w:val="0"/>
                <w:bCs w:val="0"/>
                <w:color w:val="auto"/>
                <w:spacing w:val="0"/>
                <w:kern w:val="2"/>
                <w:sz w:val="18"/>
                <w:szCs w:val="18"/>
                <w:u w:val="none"/>
                <w:lang w:val="en-US" w:eastAsia="zh-CN" w:bidi="ar-SA"/>
              </w:rPr>
              <w:t>费</w:t>
            </w:r>
            <w:r>
              <w:rPr>
                <w:rFonts w:hint="default" w:ascii="Times New Roman" w:hAnsi="Times New Roman" w:eastAsia="方正仿宋简体" w:cs="Times New Roman"/>
                <w:b w:val="0"/>
                <w:bCs w:val="0"/>
                <w:color w:val="auto"/>
                <w:spacing w:val="0"/>
                <w:kern w:val="2"/>
                <w:sz w:val="18"/>
                <w:szCs w:val="18"/>
                <w:u w:val="none"/>
                <w:lang w:val="en-US" w:eastAsia="zh-CN" w:bidi="ar-SA"/>
              </w:rPr>
              <w:t>来源，或者收入水平低于当地居民平均生活水平的；</w:t>
            </w:r>
          </w:p>
          <w:p w14:paraId="6227C98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18"/>
                <w:szCs w:val="18"/>
                <w:u w:val="none"/>
                <w:lang w:val="en-US" w:eastAsia="zh-CN" w:bidi="ar-SA"/>
              </w:rPr>
            </w:pPr>
            <w:r>
              <w:rPr>
                <w:rFonts w:hint="default" w:ascii="Times New Roman" w:hAnsi="Times New Roman" w:eastAsia="方正仿宋简体" w:cs="Times New Roman"/>
                <w:b w:val="0"/>
                <w:bCs w:val="0"/>
                <w:color w:val="auto"/>
                <w:spacing w:val="0"/>
                <w:kern w:val="2"/>
                <w:sz w:val="18"/>
                <w:szCs w:val="18"/>
                <w:u w:val="none"/>
                <w:lang w:val="en-US" w:eastAsia="zh-CN" w:bidi="ar-SA"/>
              </w:rPr>
              <w:t>（</w:t>
            </w:r>
            <w:r>
              <w:rPr>
                <w:rFonts w:hint="eastAsia" w:ascii="Times New Roman" w:hAnsi="Times New Roman" w:eastAsia="方正仿宋简体" w:cs="Times New Roman"/>
                <w:b w:val="0"/>
                <w:bCs w:val="0"/>
                <w:color w:val="auto"/>
                <w:spacing w:val="0"/>
                <w:kern w:val="2"/>
                <w:sz w:val="18"/>
                <w:szCs w:val="18"/>
                <w:u w:val="none"/>
                <w:lang w:val="en-US" w:eastAsia="zh-CN" w:bidi="ar-SA"/>
              </w:rPr>
              <w:t>二</w:t>
            </w:r>
            <w:r>
              <w:rPr>
                <w:rFonts w:hint="default" w:ascii="Times New Roman" w:hAnsi="Times New Roman" w:eastAsia="方正仿宋简体" w:cs="Times New Roman"/>
                <w:b w:val="0"/>
                <w:bCs w:val="0"/>
                <w:color w:val="auto"/>
                <w:spacing w:val="0"/>
                <w:kern w:val="2"/>
                <w:sz w:val="18"/>
                <w:szCs w:val="18"/>
                <w:u w:val="none"/>
                <w:lang w:val="en-US" w:eastAsia="zh-CN" w:bidi="ar-SA"/>
              </w:rPr>
              <w:t>）烈士的子女未满18周岁，或者已满18周岁但因残疾或者正在上学而无生活</w:t>
            </w:r>
            <w:r>
              <w:rPr>
                <w:rFonts w:hint="eastAsia" w:ascii="Times New Roman" w:hAnsi="Times New Roman" w:eastAsia="方正仿宋简体" w:cs="Times New Roman"/>
                <w:b w:val="0"/>
                <w:bCs w:val="0"/>
                <w:color w:val="auto"/>
                <w:spacing w:val="0"/>
                <w:kern w:val="2"/>
                <w:sz w:val="18"/>
                <w:szCs w:val="18"/>
                <w:u w:val="none"/>
                <w:lang w:val="en-US" w:eastAsia="zh-CN" w:bidi="ar-SA"/>
              </w:rPr>
              <w:t>费</w:t>
            </w:r>
            <w:r>
              <w:rPr>
                <w:rFonts w:hint="default" w:ascii="Times New Roman" w:hAnsi="Times New Roman" w:eastAsia="方正仿宋简体" w:cs="Times New Roman"/>
                <w:b w:val="0"/>
                <w:bCs w:val="0"/>
                <w:color w:val="auto"/>
                <w:spacing w:val="0"/>
                <w:kern w:val="2"/>
                <w:sz w:val="18"/>
                <w:szCs w:val="18"/>
                <w:u w:val="none"/>
                <w:lang w:val="en-US" w:eastAsia="zh-CN" w:bidi="ar-SA"/>
              </w:rPr>
              <w:t>来源的；</w:t>
            </w:r>
          </w:p>
          <w:p w14:paraId="34F43DA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18"/>
                <w:szCs w:val="18"/>
                <w:u w:val="none"/>
                <w:lang w:val="en-US" w:eastAsia="zh-CN" w:bidi="ar-SA"/>
              </w:rPr>
            </w:pPr>
            <w:r>
              <w:rPr>
                <w:rFonts w:hint="default" w:ascii="Times New Roman" w:hAnsi="Times New Roman" w:eastAsia="方正仿宋简体" w:cs="Times New Roman"/>
                <w:b w:val="0"/>
                <w:bCs w:val="0"/>
                <w:color w:val="auto"/>
                <w:spacing w:val="0"/>
                <w:kern w:val="2"/>
                <w:sz w:val="18"/>
                <w:szCs w:val="18"/>
                <w:u w:val="none"/>
                <w:lang w:val="en-US" w:eastAsia="zh-CN" w:bidi="ar-SA"/>
              </w:rPr>
              <w:t>（</w:t>
            </w:r>
            <w:r>
              <w:rPr>
                <w:rFonts w:hint="eastAsia" w:ascii="Times New Roman" w:hAnsi="Times New Roman" w:eastAsia="方正仿宋简体" w:cs="Times New Roman"/>
                <w:b w:val="0"/>
                <w:bCs w:val="0"/>
                <w:color w:val="auto"/>
                <w:spacing w:val="0"/>
                <w:kern w:val="2"/>
                <w:sz w:val="18"/>
                <w:szCs w:val="18"/>
                <w:u w:val="none"/>
                <w:lang w:val="en-US" w:eastAsia="zh-CN" w:bidi="ar-SA"/>
              </w:rPr>
              <w:t>三</w:t>
            </w:r>
            <w:r>
              <w:rPr>
                <w:rFonts w:hint="default" w:ascii="Times New Roman" w:hAnsi="Times New Roman" w:eastAsia="方正仿宋简体" w:cs="Times New Roman"/>
                <w:b w:val="0"/>
                <w:bCs w:val="0"/>
                <w:color w:val="auto"/>
                <w:spacing w:val="0"/>
                <w:kern w:val="2"/>
                <w:sz w:val="18"/>
                <w:szCs w:val="18"/>
                <w:u w:val="none"/>
                <w:lang w:val="en-US" w:eastAsia="zh-CN" w:bidi="ar-SA"/>
              </w:rPr>
              <w:t>）由烈士生前供养的兄弟姐妹未满18周岁，或者已满18周岁但因正在上学而无生活</w:t>
            </w:r>
            <w:r>
              <w:rPr>
                <w:rFonts w:hint="eastAsia" w:ascii="Times New Roman" w:hAnsi="Times New Roman" w:eastAsia="方正仿宋简体" w:cs="Times New Roman"/>
                <w:b w:val="0"/>
                <w:bCs w:val="0"/>
                <w:color w:val="auto"/>
                <w:spacing w:val="0"/>
                <w:kern w:val="2"/>
                <w:sz w:val="18"/>
                <w:szCs w:val="18"/>
                <w:u w:val="none"/>
                <w:lang w:val="en-US" w:eastAsia="zh-CN" w:bidi="ar-SA"/>
              </w:rPr>
              <w:t>费</w:t>
            </w:r>
            <w:r>
              <w:rPr>
                <w:rFonts w:hint="default" w:ascii="Times New Roman" w:hAnsi="Times New Roman" w:eastAsia="方正仿宋简体" w:cs="Times New Roman"/>
                <w:b w:val="0"/>
                <w:bCs w:val="0"/>
                <w:color w:val="auto"/>
                <w:spacing w:val="0"/>
                <w:kern w:val="2"/>
                <w:sz w:val="18"/>
                <w:szCs w:val="18"/>
                <w:u w:val="none"/>
                <w:lang w:val="en-US" w:eastAsia="zh-CN" w:bidi="ar-SA"/>
              </w:rPr>
              <w:t>来源的。</w:t>
            </w:r>
          </w:p>
          <w:p w14:paraId="3B62EBF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18"/>
                <w:szCs w:val="18"/>
                <w:u w:val="none"/>
                <w:lang w:val="en-US" w:eastAsia="zh-CN" w:bidi="ar-SA"/>
              </w:rPr>
            </w:pPr>
            <w:r>
              <w:rPr>
                <w:rFonts w:hint="default" w:ascii="Times New Roman" w:hAnsi="Times New Roman" w:eastAsia="方正仿宋简体" w:cs="Times New Roman"/>
                <w:b w:val="0"/>
                <w:bCs w:val="0"/>
                <w:color w:val="auto"/>
                <w:spacing w:val="0"/>
                <w:kern w:val="2"/>
                <w:sz w:val="18"/>
                <w:szCs w:val="18"/>
                <w:u w:val="none"/>
                <w:lang w:val="en-US" w:eastAsia="zh-CN" w:bidi="ar-SA"/>
              </w:rPr>
              <w:t>符合前款规定条件享受定期抚恤金的烈士遗属，由其户</w:t>
            </w:r>
            <w:r>
              <w:rPr>
                <w:rFonts w:hint="eastAsia" w:ascii="Times New Roman" w:hAnsi="Times New Roman" w:eastAsia="方正仿宋简体" w:cs="Times New Roman"/>
                <w:b w:val="0"/>
                <w:bCs w:val="0"/>
                <w:color w:val="auto"/>
                <w:spacing w:val="0"/>
                <w:kern w:val="2"/>
                <w:sz w:val="18"/>
                <w:szCs w:val="18"/>
                <w:u w:val="none"/>
                <w:lang w:val="en-US" w:eastAsia="zh-CN" w:bidi="ar-SA"/>
              </w:rPr>
              <w:t>籍</w:t>
            </w:r>
            <w:r>
              <w:rPr>
                <w:rFonts w:hint="default" w:ascii="Times New Roman" w:hAnsi="Times New Roman" w:eastAsia="方正仿宋简体" w:cs="Times New Roman"/>
                <w:b w:val="0"/>
                <w:bCs w:val="0"/>
                <w:color w:val="auto"/>
                <w:spacing w:val="0"/>
                <w:kern w:val="2"/>
                <w:sz w:val="18"/>
                <w:szCs w:val="18"/>
                <w:u w:val="none"/>
                <w:lang w:val="en-US" w:eastAsia="zh-CN" w:bidi="ar-SA"/>
              </w:rPr>
              <w:t>所在地县级人民政府退役军人</w:t>
            </w:r>
            <w:r>
              <w:rPr>
                <w:rFonts w:hint="eastAsia" w:ascii="Times New Roman" w:hAnsi="Times New Roman" w:eastAsia="方正仿宋简体" w:cs="Times New Roman"/>
                <w:b w:val="0"/>
                <w:bCs w:val="0"/>
                <w:color w:val="auto"/>
                <w:spacing w:val="0"/>
                <w:kern w:val="2"/>
                <w:sz w:val="18"/>
                <w:szCs w:val="18"/>
                <w:u w:val="none"/>
                <w:lang w:val="en-US" w:eastAsia="zh-CN" w:bidi="ar-SA"/>
              </w:rPr>
              <w:t>工作主管</w:t>
            </w:r>
            <w:r>
              <w:rPr>
                <w:rFonts w:hint="default" w:ascii="Times New Roman" w:hAnsi="Times New Roman" w:eastAsia="方正仿宋简体" w:cs="Times New Roman"/>
                <w:b w:val="0"/>
                <w:bCs w:val="0"/>
                <w:color w:val="auto"/>
                <w:spacing w:val="0"/>
                <w:kern w:val="2"/>
                <w:sz w:val="18"/>
                <w:szCs w:val="18"/>
                <w:u w:val="none"/>
                <w:lang w:val="en-US" w:eastAsia="zh-CN" w:bidi="ar-SA"/>
              </w:rPr>
              <w:t>部门</w:t>
            </w:r>
            <w:r>
              <w:rPr>
                <w:rFonts w:hint="eastAsia" w:ascii="Times New Roman" w:hAnsi="Times New Roman" w:eastAsia="方正仿宋简体" w:cs="Times New Roman"/>
                <w:b w:val="0"/>
                <w:bCs w:val="0"/>
                <w:color w:val="auto"/>
                <w:spacing w:val="0"/>
                <w:kern w:val="2"/>
                <w:sz w:val="18"/>
                <w:szCs w:val="18"/>
                <w:u w:val="none"/>
                <w:lang w:val="en-US" w:eastAsia="zh-CN" w:bidi="ar-SA"/>
              </w:rPr>
              <w:t>依据其申请，在审核确认其符合条件当月起</w:t>
            </w:r>
            <w:r>
              <w:rPr>
                <w:rFonts w:hint="default" w:ascii="Times New Roman" w:hAnsi="Times New Roman" w:eastAsia="方正仿宋简体" w:cs="Times New Roman"/>
                <w:b w:val="0"/>
                <w:bCs w:val="0"/>
                <w:color w:val="auto"/>
                <w:spacing w:val="0"/>
                <w:kern w:val="2"/>
                <w:sz w:val="18"/>
                <w:szCs w:val="18"/>
                <w:u w:val="none"/>
                <w:lang w:val="en-US" w:eastAsia="zh-CN" w:bidi="ar-SA"/>
              </w:rPr>
              <w:t>发给定期抚恤金。</w:t>
            </w:r>
          </w:p>
          <w:p w14:paraId="7A99A02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18"/>
                <w:szCs w:val="18"/>
                <w:u w:val="none"/>
                <w:lang w:val="en-US" w:eastAsia="zh-CN" w:bidi="ar-SA"/>
              </w:rPr>
            </w:pPr>
            <w:r>
              <w:rPr>
                <w:rFonts w:hint="default" w:ascii="Times New Roman" w:hAnsi="Times New Roman" w:eastAsia="方正仿宋简体" w:cs="Times New Roman"/>
                <w:b w:val="0"/>
                <w:bCs w:val="0"/>
                <w:color w:val="auto"/>
                <w:spacing w:val="0"/>
                <w:kern w:val="2"/>
                <w:sz w:val="18"/>
                <w:szCs w:val="18"/>
                <w:u w:val="none"/>
                <w:lang w:val="en-US" w:eastAsia="zh-CN" w:bidi="ar-SA"/>
              </w:rPr>
              <w:t>第</w:t>
            </w:r>
            <w:r>
              <w:rPr>
                <w:rFonts w:hint="eastAsia" w:ascii="Times New Roman" w:hAnsi="Times New Roman" w:eastAsia="方正仿宋简体" w:cs="Times New Roman"/>
                <w:b w:val="0"/>
                <w:bCs w:val="0"/>
                <w:color w:val="auto"/>
                <w:spacing w:val="0"/>
                <w:kern w:val="2"/>
                <w:sz w:val="18"/>
                <w:szCs w:val="18"/>
                <w:u w:val="none"/>
                <w:lang w:val="en-US" w:eastAsia="zh-CN" w:bidi="ar-SA"/>
              </w:rPr>
              <w:t>二</w:t>
            </w:r>
            <w:r>
              <w:rPr>
                <w:rFonts w:hint="default" w:ascii="Times New Roman" w:hAnsi="Times New Roman" w:eastAsia="方正仿宋简体" w:cs="Times New Roman"/>
                <w:b w:val="0"/>
                <w:bCs w:val="0"/>
                <w:color w:val="auto"/>
                <w:spacing w:val="0"/>
                <w:kern w:val="2"/>
                <w:sz w:val="18"/>
                <w:szCs w:val="18"/>
                <w:u w:val="none"/>
                <w:lang w:val="en-US" w:eastAsia="zh-CN" w:bidi="ar-SA"/>
              </w:rPr>
              <w:t>十条 烈士生前的配偶再婚后继续赡养烈士父母</w:t>
            </w:r>
            <w:r>
              <w:rPr>
                <w:rFonts w:hint="eastAsia" w:ascii="Times New Roman" w:hAnsi="Times New Roman" w:eastAsia="方正仿宋简体" w:cs="Times New Roman"/>
                <w:b w:val="0"/>
                <w:bCs w:val="0"/>
                <w:color w:val="auto"/>
                <w:spacing w:val="0"/>
                <w:kern w:val="2"/>
                <w:sz w:val="18"/>
                <w:szCs w:val="18"/>
                <w:u w:val="none"/>
                <w:lang w:val="en-US" w:eastAsia="zh-CN" w:bidi="ar-SA"/>
              </w:rPr>
              <w:t>（抚养人）</w:t>
            </w:r>
            <w:r>
              <w:rPr>
                <w:rFonts w:hint="default" w:ascii="Times New Roman" w:hAnsi="Times New Roman" w:eastAsia="方正仿宋简体" w:cs="Times New Roman"/>
                <w:b w:val="0"/>
                <w:bCs w:val="0"/>
                <w:color w:val="auto"/>
                <w:spacing w:val="0"/>
                <w:kern w:val="2"/>
                <w:sz w:val="18"/>
                <w:szCs w:val="18"/>
                <w:u w:val="none"/>
                <w:lang w:val="en-US" w:eastAsia="zh-CN" w:bidi="ar-SA"/>
              </w:rPr>
              <w:t>，继续抚养烈士未满18周岁或者已满18周岁但无劳动能力、无生活</w:t>
            </w:r>
            <w:r>
              <w:rPr>
                <w:rFonts w:hint="eastAsia" w:ascii="Times New Roman" w:hAnsi="Times New Roman" w:eastAsia="方正仿宋简体" w:cs="Times New Roman"/>
                <w:b w:val="0"/>
                <w:bCs w:val="0"/>
                <w:color w:val="auto"/>
                <w:spacing w:val="0"/>
                <w:kern w:val="2"/>
                <w:sz w:val="18"/>
                <w:szCs w:val="18"/>
                <w:u w:val="none"/>
                <w:lang w:val="en-US" w:eastAsia="zh-CN" w:bidi="ar-SA"/>
              </w:rPr>
              <w:t>费</w:t>
            </w:r>
            <w:r>
              <w:rPr>
                <w:rFonts w:hint="default" w:ascii="Times New Roman" w:hAnsi="Times New Roman" w:eastAsia="方正仿宋简体" w:cs="Times New Roman"/>
                <w:b w:val="0"/>
                <w:bCs w:val="0"/>
                <w:color w:val="auto"/>
                <w:spacing w:val="0"/>
                <w:kern w:val="2"/>
                <w:sz w:val="18"/>
                <w:szCs w:val="18"/>
                <w:u w:val="none"/>
                <w:lang w:val="en-US" w:eastAsia="zh-CN" w:bidi="ar-SA"/>
              </w:rPr>
              <w:t>来源且由烈士生前供养的兄弟姐妹的，由其户</w:t>
            </w:r>
            <w:r>
              <w:rPr>
                <w:rFonts w:hint="eastAsia" w:ascii="Times New Roman" w:hAnsi="Times New Roman" w:eastAsia="方正仿宋简体" w:cs="Times New Roman"/>
                <w:b w:val="0"/>
                <w:bCs w:val="0"/>
                <w:color w:val="auto"/>
                <w:spacing w:val="0"/>
                <w:kern w:val="2"/>
                <w:sz w:val="18"/>
                <w:szCs w:val="18"/>
                <w:u w:val="none"/>
                <w:lang w:val="en-US" w:eastAsia="zh-CN" w:bidi="ar-SA"/>
              </w:rPr>
              <w:t>籍</w:t>
            </w:r>
            <w:r>
              <w:rPr>
                <w:rFonts w:hint="default" w:ascii="Times New Roman" w:hAnsi="Times New Roman" w:eastAsia="方正仿宋简体" w:cs="Times New Roman"/>
                <w:b w:val="0"/>
                <w:bCs w:val="0"/>
                <w:color w:val="auto"/>
                <w:spacing w:val="0"/>
                <w:kern w:val="2"/>
                <w:sz w:val="18"/>
                <w:szCs w:val="18"/>
                <w:u w:val="none"/>
                <w:lang w:val="en-US" w:eastAsia="zh-CN" w:bidi="ar-SA"/>
              </w:rPr>
              <w:t>所在地县级人民政府退役军人</w:t>
            </w:r>
            <w:r>
              <w:rPr>
                <w:rFonts w:hint="eastAsia" w:ascii="Times New Roman" w:hAnsi="Times New Roman" w:eastAsia="方正仿宋简体" w:cs="Times New Roman"/>
                <w:b w:val="0"/>
                <w:bCs w:val="0"/>
                <w:color w:val="auto"/>
                <w:spacing w:val="0"/>
                <w:kern w:val="2"/>
                <w:sz w:val="18"/>
                <w:szCs w:val="18"/>
                <w:u w:val="none"/>
                <w:lang w:val="en-US" w:eastAsia="zh-CN" w:bidi="ar-SA"/>
              </w:rPr>
              <w:t>工作主管</w:t>
            </w:r>
            <w:r>
              <w:rPr>
                <w:rFonts w:hint="default" w:ascii="Times New Roman" w:hAnsi="Times New Roman" w:eastAsia="方正仿宋简体" w:cs="Times New Roman"/>
                <w:b w:val="0"/>
                <w:bCs w:val="0"/>
                <w:color w:val="auto"/>
                <w:spacing w:val="0"/>
                <w:kern w:val="2"/>
                <w:sz w:val="18"/>
                <w:szCs w:val="18"/>
                <w:u w:val="none"/>
                <w:lang w:val="en-US" w:eastAsia="zh-CN" w:bidi="ar-SA"/>
              </w:rPr>
              <w:t>部门</w:t>
            </w:r>
            <w:r>
              <w:rPr>
                <w:rFonts w:hint="eastAsia" w:ascii="Times New Roman" w:hAnsi="Times New Roman" w:eastAsia="方正仿宋简体" w:cs="Times New Roman"/>
                <w:b w:val="0"/>
                <w:bCs w:val="0"/>
                <w:color w:val="auto"/>
                <w:spacing w:val="0"/>
                <w:kern w:val="2"/>
                <w:sz w:val="18"/>
                <w:szCs w:val="18"/>
                <w:u w:val="none"/>
                <w:lang w:val="en-US" w:eastAsia="zh-CN" w:bidi="ar-SA"/>
              </w:rPr>
              <w:t>依据其申请，</w:t>
            </w:r>
            <w:r>
              <w:rPr>
                <w:rFonts w:hint="default" w:ascii="Times New Roman" w:hAnsi="Times New Roman" w:eastAsia="方正仿宋简体" w:cs="Times New Roman"/>
                <w:b w:val="0"/>
                <w:bCs w:val="0"/>
                <w:color w:val="auto"/>
                <w:spacing w:val="0"/>
                <w:kern w:val="2"/>
                <w:sz w:val="18"/>
                <w:szCs w:val="18"/>
                <w:u w:val="none"/>
                <w:lang w:val="en-US" w:eastAsia="zh-CN" w:bidi="ar-SA"/>
              </w:rPr>
              <w:t>参照烈士遗属定期抚恤金的标准给予</w:t>
            </w:r>
            <w:r>
              <w:rPr>
                <w:rFonts w:hint="eastAsia" w:ascii="Times New Roman" w:hAnsi="Times New Roman" w:eastAsia="方正仿宋简体" w:cs="Times New Roman"/>
                <w:b w:val="0"/>
                <w:bCs w:val="0"/>
                <w:color w:val="auto"/>
                <w:spacing w:val="0"/>
                <w:kern w:val="2"/>
                <w:sz w:val="18"/>
                <w:szCs w:val="18"/>
                <w:u w:val="none"/>
                <w:lang w:val="en-US" w:eastAsia="zh-CN" w:bidi="ar-SA"/>
              </w:rPr>
              <w:t>定期</w:t>
            </w:r>
            <w:r>
              <w:rPr>
                <w:rFonts w:hint="default" w:ascii="Times New Roman" w:hAnsi="Times New Roman" w:eastAsia="方正仿宋简体" w:cs="Times New Roman"/>
                <w:b w:val="0"/>
                <w:bCs w:val="0"/>
                <w:color w:val="auto"/>
                <w:spacing w:val="0"/>
                <w:kern w:val="2"/>
                <w:sz w:val="18"/>
                <w:szCs w:val="18"/>
                <w:u w:val="none"/>
                <w:lang w:val="en-US" w:eastAsia="zh-CN" w:bidi="ar-SA"/>
              </w:rPr>
              <w:t>补助。</w:t>
            </w:r>
          </w:p>
          <w:p w14:paraId="0A70BFD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18"/>
                <w:szCs w:val="18"/>
                <w:u w:val="none"/>
                <w:lang w:val="en-US" w:eastAsia="zh-CN" w:bidi="ar-SA"/>
              </w:rPr>
            </w:pPr>
            <w:r>
              <w:rPr>
                <w:rFonts w:hint="default" w:ascii="Times New Roman" w:hAnsi="Times New Roman" w:eastAsia="方正仿宋简体" w:cs="Times New Roman"/>
                <w:b w:val="0"/>
                <w:bCs w:val="0"/>
                <w:color w:val="auto"/>
                <w:spacing w:val="0"/>
                <w:kern w:val="2"/>
                <w:sz w:val="18"/>
                <w:szCs w:val="18"/>
                <w:u w:val="none"/>
                <w:lang w:val="en-US" w:eastAsia="zh-CN" w:bidi="ar-SA"/>
              </w:rPr>
              <w:t>2.</w:t>
            </w:r>
            <w:r>
              <w:rPr>
                <w:rFonts w:hint="eastAsia" w:ascii="Times New Roman" w:hAnsi="Times New Roman" w:eastAsia="方正仿宋简体" w:cs="Times New Roman"/>
                <w:b w:val="0"/>
                <w:bCs w:val="0"/>
                <w:color w:val="auto"/>
                <w:spacing w:val="0"/>
                <w:kern w:val="2"/>
                <w:sz w:val="18"/>
                <w:szCs w:val="18"/>
                <w:u w:val="none"/>
                <w:lang w:val="en-US" w:eastAsia="zh-CN" w:bidi="ar-SA"/>
              </w:rPr>
              <w:t>《军人抚恤优待条例》第十九条 对符合下列条件的烈士遗属、因公牺牲军人遗属、病故军人遗属，由其户籍所在地县级人民政府退役军人工作主管部门依据其申请，在审核确认其符合条件当月起发给定期抚恤金：</w:t>
            </w:r>
          </w:p>
          <w:p w14:paraId="25DA61B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18"/>
                <w:szCs w:val="18"/>
                <w:u w:val="none"/>
                <w:lang w:val="en-US" w:eastAsia="zh-CN" w:bidi="ar-SA"/>
              </w:rPr>
            </w:pPr>
            <w:r>
              <w:rPr>
                <w:rFonts w:hint="eastAsia" w:ascii="Times New Roman" w:hAnsi="Times New Roman" w:eastAsia="方正仿宋简体" w:cs="Times New Roman"/>
                <w:b w:val="0"/>
                <w:bCs w:val="0"/>
                <w:color w:val="auto"/>
                <w:spacing w:val="0"/>
                <w:kern w:val="2"/>
                <w:sz w:val="18"/>
                <w:szCs w:val="18"/>
                <w:u w:val="none"/>
                <w:lang w:val="en-US" w:eastAsia="zh-CN" w:bidi="ar-SA"/>
              </w:rPr>
              <w:t>（一）父母（抚养人）、配偶无劳动能力、无生活费来源，或者收入水平低于当地居民平均生活水平的；</w:t>
            </w:r>
          </w:p>
          <w:p w14:paraId="44B1A57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18"/>
                <w:szCs w:val="18"/>
                <w:u w:val="none"/>
                <w:lang w:val="en-US" w:eastAsia="zh-CN" w:bidi="ar-SA"/>
              </w:rPr>
            </w:pPr>
            <w:r>
              <w:rPr>
                <w:rFonts w:hint="eastAsia" w:ascii="Times New Roman" w:hAnsi="Times New Roman" w:eastAsia="方正仿宋简体" w:cs="Times New Roman"/>
                <w:b w:val="0"/>
                <w:bCs w:val="0"/>
                <w:color w:val="auto"/>
                <w:spacing w:val="0"/>
                <w:kern w:val="2"/>
                <w:sz w:val="18"/>
                <w:szCs w:val="18"/>
                <w:u w:val="none"/>
                <w:lang w:val="en-US" w:eastAsia="zh-CN" w:bidi="ar-SA"/>
              </w:rPr>
              <w:t>（二）子女未满18周岁或者已满18周岁但因上学或者残疾无生活费来源的；</w:t>
            </w:r>
          </w:p>
          <w:p w14:paraId="121F002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18"/>
                <w:szCs w:val="18"/>
                <w:u w:val="none"/>
                <w:lang w:val="en-US" w:eastAsia="zh-CN" w:bidi="ar-SA"/>
              </w:rPr>
            </w:pPr>
            <w:r>
              <w:rPr>
                <w:rFonts w:hint="eastAsia" w:ascii="Times New Roman" w:hAnsi="Times New Roman" w:eastAsia="方正仿宋简体" w:cs="Times New Roman"/>
                <w:b w:val="0"/>
                <w:bCs w:val="0"/>
                <w:color w:val="auto"/>
                <w:spacing w:val="0"/>
                <w:kern w:val="2"/>
                <w:sz w:val="18"/>
                <w:szCs w:val="18"/>
                <w:u w:val="none"/>
                <w:lang w:val="en-US" w:eastAsia="zh-CN" w:bidi="ar-SA"/>
              </w:rPr>
              <w:t>（三）兄弟姐妹未满18周岁或者已满18周岁但因上学无生活费来源且由该军人生前供养的。</w:t>
            </w:r>
          </w:p>
          <w:p w14:paraId="635173B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18"/>
                <w:szCs w:val="18"/>
                <w:u w:val="none"/>
                <w:lang w:val="en-US" w:eastAsia="zh-CN" w:bidi="ar-SA"/>
              </w:rPr>
            </w:pPr>
            <w:r>
              <w:rPr>
                <w:rFonts w:hint="eastAsia" w:ascii="Times New Roman" w:hAnsi="Times New Roman" w:eastAsia="方正仿宋简体" w:cs="Times New Roman"/>
                <w:b w:val="0"/>
                <w:bCs w:val="0"/>
                <w:color w:val="auto"/>
                <w:spacing w:val="0"/>
                <w:kern w:val="2"/>
                <w:sz w:val="18"/>
                <w:szCs w:val="18"/>
                <w:u w:val="none"/>
                <w:lang w:val="en-US" w:eastAsia="zh-CN" w:bidi="ar-SA"/>
              </w:rPr>
              <w:t>定期抚恤金标准应当参照上一年度全国居民人均可支配收入水平确定，具体标准及其调整办法，由国务院退役军人工作主管部门会同国务院财政部门规定。</w:t>
            </w:r>
          </w:p>
          <w:p w14:paraId="0339869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0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18"/>
                <w:szCs w:val="18"/>
                <w:u w:val="none"/>
                <w:lang w:val="en-US" w:eastAsia="zh-CN" w:bidi="ar-SA"/>
              </w:rPr>
              <w:t>第二十条 烈士、因公牺牲军人、病故军人生前的配偶再婚后继续赡养烈士、因公牺牲军人、病故军人父母（抚养人），继续抚养烈士、因公牺牲军人、病故军人生前供养的未满18周岁或者已满18周岁但无劳动能力且无生活费来源的兄弟姐妹的，由其户籍所在地县级人民政府退役军人工作主管部门继续发放定期抚恤金。</w:t>
            </w:r>
          </w:p>
        </w:tc>
        <w:tc>
          <w:tcPr>
            <w:tcW w:w="1841" w:type="dxa"/>
            <w:vAlign w:val="center"/>
          </w:tcPr>
          <w:p w14:paraId="38BC0EA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1.烈士在牺牲后被依法评定为烈士；现役军人经军队有权政治机关确认因公牺牲、病故。</w:t>
            </w:r>
          </w:p>
          <w:p w14:paraId="3D4D678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烈士遗属、因公牺牲军人遗属、病故军人遗属中的父母、配偶无劳动能力、无生活来源，或者收入水平低于当地居民的平均生活水平的；子女未满18周岁或者已满18周岁但因上学或者残疾无生活费来源的；兄弟姐妹未满18周岁或者已满18周岁但因上学无生活费来源且由烈士或者因公牺牲、病故军人生前供养的。</w:t>
            </w:r>
          </w:p>
        </w:tc>
        <w:tc>
          <w:tcPr>
            <w:tcW w:w="2332" w:type="dxa"/>
            <w:vAlign w:val="center"/>
          </w:tcPr>
          <w:p w14:paraId="23D7D5D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62C01D9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1.烈士遗属、因公牺牲、病故军人遗属向其</w:t>
            </w:r>
            <w:r>
              <w:rPr>
                <w:rFonts w:hint="eastAsia" w:ascii="Times New Roman" w:hAnsi="Times New Roman" w:eastAsia="方正仿宋简体" w:cs="Times New Roman"/>
                <w:b w:val="0"/>
                <w:bCs w:val="0"/>
                <w:color w:val="auto"/>
                <w:spacing w:val="0"/>
                <w:kern w:val="2"/>
                <w:sz w:val="20"/>
                <w:szCs w:val="20"/>
                <w:u w:val="none"/>
                <w:lang w:val="en-US" w:eastAsia="zh-CN" w:bidi="ar-SA"/>
              </w:rPr>
              <w:t>户籍</w:t>
            </w:r>
            <w:r>
              <w:rPr>
                <w:rFonts w:hint="default" w:ascii="Times New Roman" w:hAnsi="Times New Roman" w:eastAsia="方正仿宋简体" w:cs="Times New Roman"/>
                <w:b w:val="0"/>
                <w:bCs w:val="0"/>
                <w:color w:val="auto"/>
                <w:spacing w:val="0"/>
                <w:kern w:val="2"/>
                <w:sz w:val="20"/>
                <w:szCs w:val="20"/>
                <w:u w:val="none"/>
                <w:lang w:val="en-US" w:eastAsia="zh-CN" w:bidi="ar-SA"/>
              </w:rPr>
              <w:t>所在地县级人民政府</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提出申请；</w:t>
            </w:r>
          </w:p>
          <w:p w14:paraId="50DF44E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2.县级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审核；</w:t>
            </w:r>
          </w:p>
          <w:p w14:paraId="5C851DD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3.县级财政部门审核、拨付资金；</w:t>
            </w:r>
          </w:p>
          <w:p w14:paraId="536EABF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4.代发金融机构将资金发放到烈士遗属、因公牺牲、病故军人遗属个人指定账户。</w:t>
            </w:r>
          </w:p>
          <w:p w14:paraId="2D813FC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81" w:type="dxa"/>
            <w:vAlign w:val="center"/>
          </w:tcPr>
          <w:p w14:paraId="167F712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自审核确认烈士遗属、因公牺牲军人遗属、病故军人遗属符合享受定期抚恤金条件之日起开始计发，按月发放。</w:t>
            </w:r>
          </w:p>
          <w:p w14:paraId="538A695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96" w:type="dxa"/>
            <w:vAlign w:val="center"/>
          </w:tcPr>
          <w:p w14:paraId="7104295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1.申请书；</w:t>
            </w:r>
          </w:p>
          <w:p w14:paraId="6E38C00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2.烈士证书、因公牺牲、病故军人证明书；</w:t>
            </w:r>
          </w:p>
          <w:p w14:paraId="26DE344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3.申请人与烈士、因公牺牲、病故军人关系证明；</w:t>
            </w:r>
          </w:p>
          <w:p w14:paraId="0A89B6A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4.</w:t>
            </w:r>
            <w:r>
              <w:rPr>
                <w:rFonts w:hint="eastAsia" w:ascii="Times New Roman" w:hAnsi="Times New Roman" w:eastAsia="方正仿宋简体" w:cs="Times New Roman"/>
                <w:b w:val="0"/>
                <w:bCs w:val="0"/>
                <w:color w:val="auto"/>
                <w:spacing w:val="0"/>
                <w:kern w:val="2"/>
                <w:sz w:val="20"/>
                <w:szCs w:val="20"/>
                <w:u w:val="none"/>
                <w:lang w:val="en-US" w:eastAsia="zh-CN" w:bidi="ar-SA"/>
              </w:rPr>
              <w:t>经申请人确认的</w:t>
            </w:r>
            <w:r>
              <w:rPr>
                <w:rFonts w:hint="default" w:ascii="Times New Roman" w:hAnsi="Times New Roman" w:eastAsia="方正仿宋简体" w:cs="Times New Roman"/>
                <w:b w:val="0"/>
                <w:bCs w:val="0"/>
                <w:color w:val="auto"/>
                <w:spacing w:val="0"/>
                <w:kern w:val="2"/>
                <w:sz w:val="20"/>
                <w:szCs w:val="20"/>
                <w:u w:val="none"/>
                <w:lang w:val="en-US" w:eastAsia="zh-CN" w:bidi="ar-SA"/>
              </w:rPr>
              <w:t>银行卡</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存折账户</w:t>
            </w:r>
            <w:r>
              <w:rPr>
                <w:rFonts w:hint="eastAsia" w:ascii="Times New Roman" w:hAnsi="Times New Roman" w:eastAsia="方正仿宋简体" w:cs="Times New Roman"/>
                <w:b w:val="0"/>
                <w:bCs w:val="0"/>
                <w:color w:val="auto"/>
                <w:spacing w:val="0"/>
                <w:kern w:val="2"/>
                <w:sz w:val="20"/>
                <w:szCs w:val="20"/>
                <w:u w:val="none"/>
                <w:lang w:val="en-US" w:eastAsia="zh-CN" w:bidi="ar-SA"/>
              </w:rPr>
              <w:t>等合法银行账户</w:t>
            </w:r>
            <w:r>
              <w:rPr>
                <w:rFonts w:hint="default" w:ascii="Times New Roman" w:hAnsi="Times New Roman" w:eastAsia="方正仿宋简体" w:cs="Times New Roman"/>
                <w:b w:val="0"/>
                <w:bCs w:val="0"/>
                <w:color w:val="auto"/>
                <w:spacing w:val="0"/>
                <w:kern w:val="2"/>
                <w:sz w:val="20"/>
                <w:szCs w:val="20"/>
                <w:u w:val="none"/>
                <w:lang w:val="en-US" w:eastAsia="zh-CN" w:bidi="ar-SA"/>
              </w:rPr>
              <w:t>信息。</w:t>
            </w:r>
          </w:p>
          <w:p w14:paraId="07610DB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r>
      <w:tr w14:paraId="26FC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4" w:hRule="atLeast"/>
        </w:trPr>
        <w:tc>
          <w:tcPr>
            <w:tcW w:w="668" w:type="dxa"/>
            <w:vAlign w:val="center"/>
          </w:tcPr>
          <w:p w14:paraId="70E147A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8</w:t>
            </w:r>
          </w:p>
        </w:tc>
        <w:tc>
          <w:tcPr>
            <w:tcW w:w="791" w:type="dxa"/>
            <w:vAlign w:val="center"/>
          </w:tcPr>
          <w:p w14:paraId="031C606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退出现役分散安置的残疾军人护理费的发放</w:t>
            </w:r>
          </w:p>
        </w:tc>
        <w:tc>
          <w:tcPr>
            <w:tcW w:w="709" w:type="dxa"/>
            <w:vAlign w:val="center"/>
          </w:tcPr>
          <w:p w14:paraId="3AEDECC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行政给付</w:t>
            </w:r>
          </w:p>
        </w:tc>
        <w:tc>
          <w:tcPr>
            <w:tcW w:w="4446" w:type="dxa"/>
            <w:vAlign w:val="center"/>
          </w:tcPr>
          <w:p w14:paraId="639E3F4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《军人抚恤优待条例》</w:t>
            </w:r>
            <w:r>
              <w:rPr>
                <w:rFonts w:hint="eastAsia" w:ascii="Times New Roman" w:hAnsi="Times New Roman" w:eastAsia="方正仿宋简体" w:cs="Times New Roman"/>
                <w:b w:val="0"/>
                <w:bCs w:val="0"/>
                <w:color w:val="auto"/>
                <w:spacing w:val="0"/>
                <w:kern w:val="2"/>
                <w:sz w:val="20"/>
                <w:szCs w:val="20"/>
                <w:u w:val="none"/>
                <w:lang w:val="en-US" w:eastAsia="zh-CN" w:bidi="ar-SA"/>
              </w:rPr>
              <w:t>第二十四条 残疾军人享受残疾抚恤金，并可以按照规定享受供养待遇、护理费等。</w:t>
            </w:r>
          </w:p>
          <w:p w14:paraId="3DD3892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第三十四条 对退出现役时分散供养的一级至四级、退出现役后补办或者调整为一级至四级、服现役期间因患精神障碍评定为五级至六级的残疾军人发给护理费，护理费的标准为：</w:t>
            </w:r>
          </w:p>
          <w:p w14:paraId="090E844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（一）因战、因公一级和二级残疾的，为当地上一年度城镇单位就业人员月平均工资的50%；</w:t>
            </w:r>
          </w:p>
          <w:p w14:paraId="46225BE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（二）因战、因公三级和四级残疾的，为当地上一年度城镇单位就业人员月平均工资的40%；</w:t>
            </w:r>
          </w:p>
          <w:p w14:paraId="2003B5E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（三）因病一级至四级残疾的，为当地上一年度城镇单位就业人员月平均工资的30%；</w:t>
            </w:r>
          </w:p>
          <w:p w14:paraId="07E13C0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（四）因精神障碍五级至六级残疾的，为当地上一年度城镇单位就业人员月平均工资的25%。</w:t>
            </w:r>
          </w:p>
          <w:p w14:paraId="4F40A23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退出现役并移交地方的残疾军人的护理费，由县级以上地方人民政府退役军人工作主管部门发给。未退出现役或者未移交地方的残疾军人的护理费，由所在部队按照军队有关规定发给。移交政府安置的离退休残疾军人的护理费，按照国家和军队有关规定执行。</w:t>
            </w:r>
          </w:p>
        </w:tc>
        <w:tc>
          <w:tcPr>
            <w:tcW w:w="1841" w:type="dxa"/>
            <w:vAlign w:val="center"/>
          </w:tcPr>
          <w:p w14:paraId="21FF4D9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安置在西藏，</w:t>
            </w:r>
            <w:r>
              <w:rPr>
                <w:rFonts w:hint="default" w:ascii="Times New Roman" w:hAnsi="Times New Roman" w:eastAsia="方正仿宋简体" w:cs="Times New Roman"/>
                <w:b w:val="0"/>
                <w:bCs w:val="0"/>
                <w:color w:val="auto"/>
                <w:spacing w:val="0"/>
                <w:kern w:val="2"/>
                <w:sz w:val="20"/>
                <w:szCs w:val="20"/>
                <w:u w:val="none"/>
                <w:lang w:val="en-US" w:eastAsia="zh-CN" w:bidi="ar-SA"/>
              </w:rPr>
              <w:t>已到安置地人民政府退役军人工作主管部门报到，且为分散安置</w:t>
            </w:r>
            <w:r>
              <w:rPr>
                <w:rFonts w:hint="eastAsia" w:ascii="Times New Roman" w:hAnsi="Times New Roman" w:eastAsia="方正仿宋简体" w:cs="Times New Roman"/>
                <w:b w:val="0"/>
                <w:bCs w:val="0"/>
                <w:color w:val="auto"/>
                <w:spacing w:val="0"/>
                <w:kern w:val="2"/>
                <w:sz w:val="20"/>
                <w:szCs w:val="20"/>
                <w:u w:val="none"/>
                <w:lang w:val="en-US" w:eastAsia="zh-CN" w:bidi="ar-SA"/>
              </w:rPr>
              <w:t>的</w:t>
            </w:r>
            <w:r>
              <w:rPr>
                <w:rFonts w:hint="default" w:ascii="Times New Roman" w:hAnsi="Times New Roman" w:eastAsia="方正仿宋简体" w:cs="Times New Roman"/>
                <w:b w:val="0"/>
                <w:bCs w:val="0"/>
                <w:color w:val="auto"/>
                <w:spacing w:val="0"/>
                <w:kern w:val="2"/>
                <w:sz w:val="20"/>
                <w:szCs w:val="20"/>
                <w:u w:val="none"/>
                <w:lang w:val="en-US" w:eastAsia="zh-CN" w:bidi="ar-SA"/>
              </w:rPr>
              <w:t>一级至四级的残疾</w:t>
            </w:r>
            <w:r>
              <w:rPr>
                <w:rFonts w:hint="eastAsia" w:ascii="Times New Roman" w:hAnsi="Times New Roman" w:eastAsia="方正仿宋简体" w:cs="Times New Roman"/>
                <w:b w:val="0"/>
                <w:bCs w:val="0"/>
                <w:color w:val="auto"/>
                <w:spacing w:val="0"/>
                <w:kern w:val="2"/>
                <w:sz w:val="20"/>
                <w:szCs w:val="20"/>
                <w:u w:val="none"/>
                <w:lang w:val="en-US" w:eastAsia="zh-CN" w:bidi="ar-SA"/>
              </w:rPr>
              <w:t>退役</w:t>
            </w:r>
            <w:r>
              <w:rPr>
                <w:rFonts w:hint="default" w:ascii="Times New Roman" w:hAnsi="Times New Roman" w:eastAsia="方正仿宋简体" w:cs="Times New Roman"/>
                <w:b w:val="0"/>
                <w:bCs w:val="0"/>
                <w:color w:val="auto"/>
                <w:spacing w:val="0"/>
                <w:kern w:val="2"/>
                <w:sz w:val="20"/>
                <w:szCs w:val="20"/>
                <w:u w:val="none"/>
                <w:lang w:val="en-US" w:eastAsia="zh-CN" w:bidi="ar-SA"/>
              </w:rPr>
              <w:t>军人</w:t>
            </w:r>
            <w:r>
              <w:rPr>
                <w:rFonts w:hint="eastAsia" w:ascii="Times New Roman" w:hAnsi="Times New Roman" w:eastAsia="方正仿宋简体" w:cs="Times New Roman"/>
                <w:b w:val="0"/>
                <w:bCs w:val="0"/>
                <w:color w:val="auto"/>
                <w:spacing w:val="0"/>
                <w:kern w:val="2"/>
                <w:sz w:val="20"/>
                <w:szCs w:val="20"/>
                <w:u w:val="none"/>
                <w:lang w:val="en-US" w:eastAsia="zh-CN" w:bidi="ar-SA"/>
              </w:rPr>
              <w:t>和服现役期间因患精神障碍评定为五级至六级的残疾军人</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tc>
        <w:tc>
          <w:tcPr>
            <w:tcW w:w="2332" w:type="dxa"/>
            <w:vAlign w:val="center"/>
          </w:tcPr>
          <w:p w14:paraId="4D0775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对残疾军人的伤残等级、户籍身份材料进行审查；</w:t>
            </w:r>
          </w:p>
          <w:p w14:paraId="3821A39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2.同级财政部门审核、拨付资金；</w:t>
            </w:r>
          </w:p>
          <w:p w14:paraId="6ABD610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3.代发金融机构将资金发放残疾军人个人指定账户。</w:t>
            </w:r>
          </w:p>
          <w:p w14:paraId="423F802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81" w:type="dxa"/>
            <w:vAlign w:val="center"/>
          </w:tcPr>
          <w:p w14:paraId="474BDD2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残疾军人到安置地人民政府退役军人工作主管部门报到后，从下一年起按月发放。</w:t>
            </w:r>
          </w:p>
          <w:p w14:paraId="0571D4F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96" w:type="dxa"/>
            <w:vAlign w:val="center"/>
          </w:tcPr>
          <w:p w14:paraId="47BDFEB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经申请人确认的</w:t>
            </w:r>
            <w:r>
              <w:rPr>
                <w:rFonts w:hint="default" w:ascii="Times New Roman" w:hAnsi="Times New Roman" w:eastAsia="方正仿宋简体" w:cs="Times New Roman"/>
                <w:b w:val="0"/>
                <w:bCs w:val="0"/>
                <w:color w:val="auto"/>
                <w:spacing w:val="0"/>
                <w:kern w:val="2"/>
                <w:sz w:val="20"/>
                <w:szCs w:val="20"/>
                <w:u w:val="none"/>
                <w:lang w:val="en-US" w:eastAsia="zh-CN" w:bidi="ar-SA"/>
              </w:rPr>
              <w:t>银行卡</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存折账户</w:t>
            </w:r>
            <w:r>
              <w:rPr>
                <w:rFonts w:hint="eastAsia" w:ascii="Times New Roman" w:hAnsi="Times New Roman" w:eastAsia="方正仿宋简体" w:cs="Times New Roman"/>
                <w:b w:val="0"/>
                <w:bCs w:val="0"/>
                <w:color w:val="auto"/>
                <w:spacing w:val="0"/>
                <w:kern w:val="2"/>
                <w:sz w:val="20"/>
                <w:szCs w:val="20"/>
                <w:u w:val="none"/>
                <w:lang w:val="en-US" w:eastAsia="zh-CN" w:bidi="ar-SA"/>
              </w:rPr>
              <w:t>等合法银行账户</w:t>
            </w:r>
            <w:r>
              <w:rPr>
                <w:rFonts w:hint="default" w:ascii="Times New Roman" w:hAnsi="Times New Roman" w:eastAsia="方正仿宋简体" w:cs="Times New Roman"/>
                <w:b w:val="0"/>
                <w:bCs w:val="0"/>
                <w:color w:val="auto"/>
                <w:spacing w:val="0"/>
                <w:kern w:val="2"/>
                <w:sz w:val="20"/>
                <w:szCs w:val="20"/>
                <w:u w:val="none"/>
                <w:lang w:val="en-US" w:eastAsia="zh-CN" w:bidi="ar-SA"/>
              </w:rPr>
              <w:t>信息。</w:t>
            </w:r>
          </w:p>
        </w:tc>
      </w:tr>
      <w:tr w14:paraId="377D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4" w:hRule="atLeast"/>
        </w:trPr>
        <w:tc>
          <w:tcPr>
            <w:tcW w:w="668" w:type="dxa"/>
            <w:vAlign w:val="center"/>
          </w:tcPr>
          <w:p w14:paraId="7C3F15D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9</w:t>
            </w:r>
          </w:p>
        </w:tc>
        <w:tc>
          <w:tcPr>
            <w:tcW w:w="791" w:type="dxa"/>
            <w:vAlign w:val="center"/>
          </w:tcPr>
          <w:p w14:paraId="5FD4343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为退出现役的残疾军人配制假肢、代步三轮车等辅助器械</w:t>
            </w:r>
          </w:p>
          <w:p w14:paraId="137508A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709" w:type="dxa"/>
            <w:vAlign w:val="center"/>
          </w:tcPr>
          <w:p w14:paraId="557C8D6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行政给付</w:t>
            </w:r>
          </w:p>
        </w:tc>
        <w:tc>
          <w:tcPr>
            <w:tcW w:w="4446" w:type="dxa"/>
            <w:vAlign w:val="center"/>
          </w:tcPr>
          <w:p w14:paraId="7F2B4CA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《军人抚恤优待条例》</w:t>
            </w:r>
            <w:r>
              <w:rPr>
                <w:rFonts w:hint="eastAsia" w:ascii="Times New Roman" w:hAnsi="Times New Roman" w:eastAsia="方正仿宋简体" w:cs="Times New Roman"/>
                <w:b w:val="0"/>
                <w:bCs w:val="0"/>
                <w:color w:val="auto"/>
                <w:spacing w:val="0"/>
                <w:kern w:val="2"/>
                <w:sz w:val="20"/>
                <w:szCs w:val="20"/>
                <w:u w:val="none"/>
                <w:lang w:val="en-US" w:eastAsia="zh-CN" w:bidi="ar-SA"/>
              </w:rPr>
              <w:t>第三十五条 残疾军人因残情需要配制假肢、轮椅、助听器等康复辅助器具，正在服现役的，由军队军级以上单位负责解决；退出现役的，由省级人民政府退役军人工作主管部门负责解决，所需经费由省级人民政府保障。</w:t>
            </w:r>
          </w:p>
          <w:p w14:paraId="6EBA7D5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841" w:type="dxa"/>
            <w:vAlign w:val="center"/>
          </w:tcPr>
          <w:p w14:paraId="3BF068D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伤残抚恤关系在西藏</w:t>
            </w:r>
            <w:r>
              <w:rPr>
                <w:rFonts w:hint="default" w:ascii="Times New Roman" w:hAnsi="Times New Roman" w:eastAsia="方正仿宋简体" w:cs="Times New Roman"/>
                <w:b w:val="0"/>
                <w:bCs w:val="0"/>
                <w:color w:val="auto"/>
                <w:spacing w:val="0"/>
                <w:kern w:val="2"/>
                <w:sz w:val="20"/>
                <w:szCs w:val="20"/>
                <w:u w:val="none"/>
                <w:lang w:val="en-US" w:eastAsia="zh-CN" w:bidi="ar-SA"/>
              </w:rPr>
              <w:t>的残疾退役军人。</w:t>
            </w:r>
          </w:p>
          <w:p w14:paraId="5C82A47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2332" w:type="dxa"/>
            <w:vAlign w:val="center"/>
          </w:tcPr>
          <w:p w14:paraId="7532E7B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1.本人（本人无行为能力的由其直系亲属）向当地县级退役军人</w:t>
            </w:r>
            <w:r>
              <w:rPr>
                <w:rFonts w:hint="eastAsia" w:ascii="Times New Roman" w:hAnsi="Times New Roman" w:eastAsia="方正仿宋简体" w:cs="Times New Roman"/>
                <w:b w:val="0"/>
                <w:bCs w:val="0"/>
                <w:color w:val="auto"/>
                <w:spacing w:val="0"/>
                <w:kern w:val="2"/>
                <w:sz w:val="20"/>
                <w:szCs w:val="20"/>
                <w:u w:val="none"/>
                <w:lang w:val="en-US" w:eastAsia="zh-CN" w:bidi="ar-SA"/>
              </w:rPr>
              <w:t>工作主管</w:t>
            </w:r>
            <w:r>
              <w:rPr>
                <w:rFonts w:hint="default" w:ascii="Times New Roman" w:hAnsi="Times New Roman" w:eastAsia="方正仿宋简体" w:cs="Times New Roman"/>
                <w:b w:val="0"/>
                <w:bCs w:val="0"/>
                <w:color w:val="auto"/>
                <w:spacing w:val="0"/>
                <w:kern w:val="2"/>
                <w:sz w:val="20"/>
                <w:szCs w:val="20"/>
                <w:u w:val="none"/>
                <w:lang w:val="en-US" w:eastAsia="zh-CN" w:bidi="ar-SA"/>
              </w:rPr>
              <w:t>部门提出申请；</w:t>
            </w:r>
          </w:p>
          <w:p w14:paraId="51FFCCA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2.县级退役军人</w:t>
            </w:r>
            <w:r>
              <w:rPr>
                <w:rFonts w:hint="eastAsia" w:ascii="Times New Roman" w:hAnsi="Times New Roman" w:eastAsia="方正仿宋简体" w:cs="Times New Roman"/>
                <w:b w:val="0"/>
                <w:bCs w:val="0"/>
                <w:color w:val="auto"/>
                <w:spacing w:val="0"/>
                <w:kern w:val="2"/>
                <w:sz w:val="20"/>
                <w:szCs w:val="20"/>
                <w:u w:val="none"/>
                <w:lang w:val="en-US" w:eastAsia="zh-CN" w:bidi="ar-SA"/>
              </w:rPr>
              <w:t>工作主管</w:t>
            </w:r>
            <w:r>
              <w:rPr>
                <w:rFonts w:hint="default" w:ascii="Times New Roman" w:hAnsi="Times New Roman" w:eastAsia="方正仿宋简体" w:cs="Times New Roman"/>
                <w:b w:val="0"/>
                <w:bCs w:val="0"/>
                <w:color w:val="auto"/>
                <w:spacing w:val="0"/>
                <w:kern w:val="2"/>
                <w:sz w:val="20"/>
                <w:szCs w:val="20"/>
                <w:u w:val="none"/>
                <w:lang w:val="en-US" w:eastAsia="zh-CN" w:bidi="ar-SA"/>
              </w:rPr>
              <w:t>部门审查；</w:t>
            </w:r>
          </w:p>
          <w:p w14:paraId="3A1E605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3.市级退役军人</w:t>
            </w:r>
            <w:r>
              <w:rPr>
                <w:rFonts w:hint="eastAsia" w:ascii="Times New Roman" w:hAnsi="Times New Roman" w:eastAsia="方正仿宋简体" w:cs="Times New Roman"/>
                <w:b w:val="0"/>
                <w:bCs w:val="0"/>
                <w:color w:val="auto"/>
                <w:spacing w:val="0"/>
                <w:kern w:val="2"/>
                <w:sz w:val="20"/>
                <w:szCs w:val="20"/>
                <w:u w:val="none"/>
                <w:lang w:val="en-US" w:eastAsia="zh-CN" w:bidi="ar-SA"/>
              </w:rPr>
              <w:t>工作主管</w:t>
            </w:r>
            <w:r>
              <w:rPr>
                <w:rFonts w:hint="default" w:ascii="Times New Roman" w:hAnsi="Times New Roman" w:eastAsia="方正仿宋简体" w:cs="Times New Roman"/>
                <w:b w:val="0"/>
                <w:bCs w:val="0"/>
                <w:color w:val="auto"/>
                <w:spacing w:val="0"/>
                <w:kern w:val="2"/>
                <w:sz w:val="20"/>
                <w:szCs w:val="20"/>
                <w:u w:val="none"/>
                <w:lang w:val="en-US" w:eastAsia="zh-CN" w:bidi="ar-SA"/>
              </w:rPr>
              <w:t>部门审核；</w:t>
            </w:r>
          </w:p>
          <w:p w14:paraId="2C9DA8B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4.</w:t>
            </w:r>
            <w:r>
              <w:rPr>
                <w:rFonts w:hint="eastAsia" w:ascii="Times New Roman" w:hAnsi="Times New Roman" w:eastAsia="方正仿宋简体" w:cs="Times New Roman"/>
                <w:b w:val="0"/>
                <w:bCs w:val="0"/>
                <w:color w:val="auto"/>
                <w:spacing w:val="0"/>
                <w:kern w:val="2"/>
                <w:sz w:val="20"/>
                <w:szCs w:val="20"/>
                <w:u w:val="none"/>
                <w:lang w:val="en-US" w:eastAsia="zh-CN" w:bidi="ar-SA"/>
              </w:rPr>
              <w:t>省级</w:t>
            </w:r>
            <w:r>
              <w:rPr>
                <w:rFonts w:hint="default" w:ascii="Times New Roman" w:hAnsi="Times New Roman" w:eastAsia="方正仿宋简体" w:cs="Times New Roman"/>
                <w:b w:val="0"/>
                <w:bCs w:val="0"/>
                <w:color w:val="auto"/>
                <w:spacing w:val="0"/>
                <w:kern w:val="2"/>
                <w:sz w:val="20"/>
                <w:szCs w:val="20"/>
                <w:u w:val="none"/>
                <w:lang w:val="en-US" w:eastAsia="zh-CN" w:bidi="ar-SA"/>
              </w:rPr>
              <w:t>退役军人</w:t>
            </w:r>
            <w:r>
              <w:rPr>
                <w:rFonts w:hint="eastAsia" w:ascii="Times New Roman" w:hAnsi="Times New Roman" w:eastAsia="方正仿宋简体" w:cs="Times New Roman"/>
                <w:b w:val="0"/>
                <w:bCs w:val="0"/>
                <w:color w:val="auto"/>
                <w:spacing w:val="0"/>
                <w:kern w:val="2"/>
                <w:sz w:val="20"/>
                <w:szCs w:val="20"/>
                <w:u w:val="none"/>
                <w:lang w:val="en-US" w:eastAsia="zh-CN" w:bidi="ar-SA"/>
              </w:rPr>
              <w:t>工作主管</w:t>
            </w:r>
            <w:r>
              <w:rPr>
                <w:rFonts w:hint="default" w:ascii="Times New Roman" w:hAnsi="Times New Roman" w:eastAsia="方正仿宋简体" w:cs="Times New Roman"/>
                <w:b w:val="0"/>
                <w:bCs w:val="0"/>
                <w:color w:val="auto"/>
                <w:spacing w:val="0"/>
                <w:kern w:val="2"/>
                <w:sz w:val="20"/>
                <w:szCs w:val="20"/>
                <w:u w:val="none"/>
                <w:lang w:val="en-US" w:eastAsia="zh-CN" w:bidi="ar-SA"/>
              </w:rPr>
              <w:t>部门审批；</w:t>
            </w:r>
          </w:p>
          <w:p w14:paraId="61871CB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5.县级退役军人</w:t>
            </w:r>
            <w:r>
              <w:rPr>
                <w:rFonts w:hint="eastAsia" w:ascii="Times New Roman" w:hAnsi="Times New Roman" w:eastAsia="方正仿宋简体" w:cs="Times New Roman"/>
                <w:b w:val="0"/>
                <w:bCs w:val="0"/>
                <w:color w:val="auto"/>
                <w:spacing w:val="0"/>
                <w:kern w:val="2"/>
                <w:sz w:val="20"/>
                <w:szCs w:val="20"/>
                <w:u w:val="none"/>
                <w:lang w:val="en-US" w:eastAsia="zh-CN" w:bidi="ar-SA"/>
              </w:rPr>
              <w:t>工作主管</w:t>
            </w:r>
            <w:r>
              <w:rPr>
                <w:rFonts w:hint="default" w:ascii="Times New Roman" w:hAnsi="Times New Roman" w:eastAsia="方正仿宋简体" w:cs="Times New Roman"/>
                <w:b w:val="0"/>
                <w:bCs w:val="0"/>
                <w:color w:val="auto"/>
                <w:spacing w:val="0"/>
                <w:kern w:val="2"/>
                <w:sz w:val="20"/>
                <w:szCs w:val="20"/>
                <w:u w:val="none"/>
                <w:lang w:val="en-US" w:eastAsia="zh-CN" w:bidi="ar-SA"/>
              </w:rPr>
              <w:t>部门根据</w:t>
            </w:r>
            <w:r>
              <w:rPr>
                <w:rFonts w:hint="eastAsia" w:ascii="Times New Roman" w:hAnsi="Times New Roman" w:eastAsia="方正仿宋简体" w:cs="Times New Roman"/>
                <w:b w:val="0"/>
                <w:bCs w:val="0"/>
                <w:color w:val="auto"/>
                <w:spacing w:val="0"/>
                <w:kern w:val="2"/>
                <w:sz w:val="20"/>
                <w:szCs w:val="20"/>
                <w:u w:val="none"/>
                <w:lang w:val="en-US" w:eastAsia="zh-CN" w:bidi="ar-SA"/>
              </w:rPr>
              <w:t>省级</w:t>
            </w:r>
            <w:r>
              <w:rPr>
                <w:rFonts w:hint="default" w:ascii="Times New Roman" w:hAnsi="Times New Roman" w:eastAsia="方正仿宋简体" w:cs="Times New Roman"/>
                <w:b w:val="0"/>
                <w:bCs w:val="0"/>
                <w:color w:val="auto"/>
                <w:spacing w:val="0"/>
                <w:kern w:val="2"/>
                <w:sz w:val="20"/>
                <w:szCs w:val="20"/>
                <w:u w:val="none"/>
                <w:lang w:val="en-US" w:eastAsia="zh-CN" w:bidi="ar-SA"/>
              </w:rPr>
              <w:t>退役军人</w:t>
            </w:r>
            <w:r>
              <w:rPr>
                <w:rFonts w:hint="eastAsia" w:ascii="Times New Roman" w:hAnsi="Times New Roman" w:eastAsia="方正仿宋简体" w:cs="Times New Roman"/>
                <w:b w:val="0"/>
                <w:bCs w:val="0"/>
                <w:color w:val="auto"/>
                <w:spacing w:val="0"/>
                <w:kern w:val="2"/>
                <w:sz w:val="20"/>
                <w:szCs w:val="20"/>
                <w:u w:val="none"/>
                <w:lang w:val="en-US" w:eastAsia="zh-CN" w:bidi="ar-SA"/>
              </w:rPr>
              <w:t>工作主管</w:t>
            </w:r>
            <w:r>
              <w:rPr>
                <w:rFonts w:hint="default" w:ascii="Times New Roman" w:hAnsi="Times New Roman" w:eastAsia="方正仿宋简体" w:cs="Times New Roman"/>
                <w:b w:val="0"/>
                <w:bCs w:val="0"/>
                <w:color w:val="auto"/>
                <w:spacing w:val="0"/>
                <w:kern w:val="2"/>
                <w:sz w:val="20"/>
                <w:szCs w:val="20"/>
                <w:u w:val="none"/>
                <w:lang w:val="en-US" w:eastAsia="zh-CN" w:bidi="ar-SA"/>
              </w:rPr>
              <w:t>部门批准的配置项目为申请人开具介绍信；</w:t>
            </w:r>
          </w:p>
          <w:p w14:paraId="067C3B0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6.申请人到配置机构联系配置；</w:t>
            </w:r>
          </w:p>
          <w:p w14:paraId="51DD0D8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7.配置机构为申请人生产配置、更换、维修康复辅助器具。</w:t>
            </w:r>
          </w:p>
          <w:p w14:paraId="425C0E5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81" w:type="dxa"/>
            <w:vAlign w:val="center"/>
          </w:tcPr>
          <w:p w14:paraId="20FC073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1.县级退役军人</w:t>
            </w:r>
            <w:r>
              <w:rPr>
                <w:rFonts w:hint="eastAsia" w:ascii="Times New Roman" w:hAnsi="Times New Roman" w:eastAsia="方正仿宋简体" w:cs="Times New Roman"/>
                <w:b w:val="0"/>
                <w:bCs w:val="0"/>
                <w:color w:val="auto"/>
                <w:spacing w:val="0"/>
                <w:kern w:val="2"/>
                <w:sz w:val="20"/>
                <w:szCs w:val="20"/>
                <w:u w:val="none"/>
                <w:lang w:val="en-US" w:eastAsia="zh-CN" w:bidi="ar-SA"/>
              </w:rPr>
              <w:t>工作主管</w:t>
            </w:r>
            <w:r>
              <w:rPr>
                <w:rFonts w:hint="default" w:ascii="Times New Roman" w:hAnsi="Times New Roman" w:eastAsia="方正仿宋简体" w:cs="Times New Roman"/>
                <w:b w:val="0"/>
                <w:bCs w:val="0"/>
                <w:color w:val="auto"/>
                <w:spacing w:val="0"/>
                <w:kern w:val="2"/>
                <w:sz w:val="20"/>
                <w:szCs w:val="20"/>
                <w:u w:val="none"/>
                <w:lang w:val="en-US" w:eastAsia="zh-CN" w:bidi="ar-SA"/>
              </w:rPr>
              <w:t>部门在收到申请后5个工作日内审查完毕；</w:t>
            </w:r>
          </w:p>
          <w:p w14:paraId="20DE617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2.市级退役军人</w:t>
            </w:r>
            <w:r>
              <w:rPr>
                <w:rFonts w:hint="eastAsia" w:ascii="Times New Roman" w:hAnsi="Times New Roman" w:eastAsia="方正仿宋简体" w:cs="Times New Roman"/>
                <w:b w:val="0"/>
                <w:bCs w:val="0"/>
                <w:color w:val="auto"/>
                <w:spacing w:val="0"/>
                <w:kern w:val="2"/>
                <w:sz w:val="20"/>
                <w:szCs w:val="20"/>
                <w:u w:val="none"/>
                <w:lang w:val="en-US" w:eastAsia="zh-CN" w:bidi="ar-SA"/>
              </w:rPr>
              <w:t>工作主管</w:t>
            </w:r>
            <w:r>
              <w:rPr>
                <w:rFonts w:hint="default" w:ascii="Times New Roman" w:hAnsi="Times New Roman" w:eastAsia="方正仿宋简体" w:cs="Times New Roman"/>
                <w:b w:val="0"/>
                <w:bCs w:val="0"/>
                <w:color w:val="auto"/>
                <w:spacing w:val="0"/>
                <w:kern w:val="2"/>
                <w:sz w:val="20"/>
                <w:szCs w:val="20"/>
                <w:u w:val="none"/>
                <w:lang w:val="en-US" w:eastAsia="zh-CN" w:bidi="ar-SA"/>
              </w:rPr>
              <w:t>部门在收到上报材料后5个工作日内审核完毕；</w:t>
            </w:r>
          </w:p>
          <w:p w14:paraId="5C5CD00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w:t>
            </w:r>
            <w:r>
              <w:rPr>
                <w:rFonts w:hint="eastAsia" w:ascii="Times New Roman" w:hAnsi="Times New Roman" w:eastAsia="方正仿宋简体" w:cs="Times New Roman"/>
                <w:b w:val="0"/>
                <w:bCs w:val="0"/>
                <w:color w:val="auto"/>
                <w:spacing w:val="0"/>
                <w:kern w:val="2"/>
                <w:sz w:val="20"/>
                <w:szCs w:val="20"/>
                <w:u w:val="none"/>
                <w:lang w:val="en-US" w:eastAsia="zh-CN" w:bidi="ar-SA"/>
              </w:rPr>
              <w:t>省级</w:t>
            </w:r>
            <w:r>
              <w:rPr>
                <w:rFonts w:hint="default" w:ascii="Times New Roman" w:hAnsi="Times New Roman" w:eastAsia="方正仿宋简体" w:cs="Times New Roman"/>
                <w:b w:val="0"/>
                <w:bCs w:val="0"/>
                <w:color w:val="auto"/>
                <w:spacing w:val="0"/>
                <w:kern w:val="2"/>
                <w:sz w:val="20"/>
                <w:szCs w:val="20"/>
                <w:u w:val="none"/>
                <w:lang w:val="en-US" w:eastAsia="zh-CN" w:bidi="ar-SA"/>
              </w:rPr>
              <w:t>退役军人</w:t>
            </w:r>
            <w:r>
              <w:rPr>
                <w:rFonts w:hint="eastAsia" w:ascii="Times New Roman" w:hAnsi="Times New Roman" w:eastAsia="方正仿宋简体" w:cs="Times New Roman"/>
                <w:b w:val="0"/>
                <w:bCs w:val="0"/>
                <w:color w:val="auto"/>
                <w:spacing w:val="0"/>
                <w:kern w:val="2"/>
                <w:sz w:val="20"/>
                <w:szCs w:val="20"/>
                <w:u w:val="none"/>
                <w:lang w:val="en-US" w:eastAsia="zh-CN" w:bidi="ar-SA"/>
              </w:rPr>
              <w:t>工作主管</w:t>
            </w:r>
            <w:r>
              <w:rPr>
                <w:rFonts w:hint="default" w:ascii="Times New Roman" w:hAnsi="Times New Roman" w:eastAsia="方正仿宋简体" w:cs="Times New Roman"/>
                <w:b w:val="0"/>
                <w:bCs w:val="0"/>
                <w:color w:val="auto"/>
                <w:spacing w:val="0"/>
                <w:kern w:val="2"/>
                <w:sz w:val="20"/>
                <w:szCs w:val="20"/>
                <w:u w:val="none"/>
                <w:lang w:val="en-US" w:eastAsia="zh-CN" w:bidi="ar-SA"/>
              </w:rPr>
              <w:t>部门收到上报材料后20个工作日内审批完毕。</w:t>
            </w:r>
          </w:p>
          <w:p w14:paraId="1AEE693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96" w:type="dxa"/>
            <w:vAlign w:val="center"/>
          </w:tcPr>
          <w:p w14:paraId="5C45775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1.书面申请；</w:t>
            </w:r>
          </w:p>
          <w:p w14:paraId="351AE9D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2.残疾军人证；</w:t>
            </w:r>
          </w:p>
          <w:p w14:paraId="42B39CB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3.户籍证明（身份证</w:t>
            </w:r>
            <w:r>
              <w:rPr>
                <w:rFonts w:hint="eastAsia" w:ascii="Times New Roman" w:hAnsi="Times New Roman" w:eastAsia="方正仿宋简体" w:cs="Times New Roman"/>
                <w:b w:val="0"/>
                <w:bCs w:val="0"/>
                <w:color w:val="auto"/>
                <w:spacing w:val="0"/>
                <w:kern w:val="2"/>
                <w:sz w:val="20"/>
                <w:szCs w:val="20"/>
                <w:u w:val="none"/>
                <w:lang w:val="en-US" w:eastAsia="zh-CN" w:bidi="ar-SA"/>
              </w:rPr>
              <w:t>或</w:t>
            </w:r>
            <w:r>
              <w:rPr>
                <w:rFonts w:hint="default" w:ascii="Times New Roman" w:hAnsi="Times New Roman" w:eastAsia="方正仿宋简体" w:cs="Times New Roman"/>
                <w:b w:val="0"/>
                <w:bCs w:val="0"/>
                <w:color w:val="auto"/>
                <w:spacing w:val="0"/>
                <w:kern w:val="2"/>
                <w:sz w:val="20"/>
                <w:szCs w:val="20"/>
                <w:u w:val="none"/>
                <w:lang w:val="en-US" w:eastAsia="zh-CN" w:bidi="ar-SA"/>
              </w:rPr>
              <w:t>户口簿）。</w:t>
            </w:r>
          </w:p>
          <w:p w14:paraId="4305E33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r>
      <w:tr w14:paraId="5086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9" w:hRule="atLeast"/>
        </w:trPr>
        <w:tc>
          <w:tcPr>
            <w:tcW w:w="668" w:type="dxa"/>
            <w:vAlign w:val="center"/>
          </w:tcPr>
          <w:p w14:paraId="65E188A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10</w:t>
            </w:r>
          </w:p>
        </w:tc>
        <w:tc>
          <w:tcPr>
            <w:tcW w:w="791" w:type="dxa"/>
            <w:vAlign w:val="center"/>
          </w:tcPr>
          <w:p w14:paraId="25D8012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自主择业军转干部退役金给付</w:t>
            </w:r>
          </w:p>
        </w:tc>
        <w:tc>
          <w:tcPr>
            <w:tcW w:w="709" w:type="dxa"/>
            <w:vAlign w:val="center"/>
          </w:tcPr>
          <w:p w14:paraId="705B8E6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行政给付</w:t>
            </w:r>
          </w:p>
        </w:tc>
        <w:tc>
          <w:tcPr>
            <w:tcW w:w="4446" w:type="dxa"/>
            <w:vAlign w:val="center"/>
          </w:tcPr>
          <w:p w14:paraId="1736DEB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中华人民共和国退役军人保障法</w:t>
            </w:r>
            <w:r>
              <w:rPr>
                <w:rFonts w:hint="default" w:ascii="Times New Roman" w:hAnsi="Times New Roman" w:eastAsia="方正仿宋简体" w:cs="Times New Roman"/>
                <w:b w:val="0"/>
                <w:bCs w:val="0"/>
                <w:color w:val="auto"/>
                <w:spacing w:val="0"/>
                <w:kern w:val="2"/>
                <w:sz w:val="20"/>
                <w:szCs w:val="20"/>
                <w:u w:val="none"/>
                <w:lang w:val="en-US" w:eastAsia="zh-CN" w:bidi="ar-SA"/>
              </w:rPr>
              <w:t>》第</w:t>
            </w:r>
            <w:r>
              <w:rPr>
                <w:rFonts w:hint="eastAsia" w:ascii="Times New Roman" w:hAnsi="Times New Roman" w:eastAsia="方正仿宋简体" w:cs="Times New Roman"/>
                <w:b w:val="0"/>
                <w:bCs w:val="0"/>
                <w:color w:val="auto"/>
                <w:spacing w:val="0"/>
                <w:kern w:val="2"/>
                <w:sz w:val="20"/>
                <w:szCs w:val="20"/>
                <w:u w:val="none"/>
                <w:lang w:val="en-US" w:eastAsia="zh-CN" w:bidi="ar-SA"/>
              </w:rPr>
              <w:t>八</w:t>
            </w:r>
            <w:r>
              <w:rPr>
                <w:rFonts w:hint="default" w:ascii="Times New Roman" w:hAnsi="Times New Roman" w:eastAsia="方正仿宋简体" w:cs="Times New Roman"/>
                <w:b w:val="0"/>
                <w:bCs w:val="0"/>
                <w:color w:val="auto"/>
                <w:spacing w:val="0"/>
                <w:kern w:val="2"/>
                <w:sz w:val="20"/>
                <w:szCs w:val="20"/>
                <w:u w:val="none"/>
                <w:lang w:val="en-US" w:eastAsia="zh-CN" w:bidi="ar-SA"/>
              </w:rPr>
              <w:t>十</w:t>
            </w:r>
            <w:r>
              <w:rPr>
                <w:rFonts w:hint="eastAsia" w:ascii="Times New Roman" w:hAnsi="Times New Roman" w:eastAsia="方正仿宋简体" w:cs="Times New Roman"/>
                <w:b w:val="0"/>
                <w:bCs w:val="0"/>
                <w:color w:val="auto"/>
                <w:spacing w:val="0"/>
                <w:kern w:val="2"/>
                <w:sz w:val="20"/>
                <w:szCs w:val="20"/>
                <w:u w:val="none"/>
                <w:lang w:val="en-US" w:eastAsia="zh-CN" w:bidi="ar-SA"/>
              </w:rPr>
              <w:t>四</w:t>
            </w:r>
            <w:r>
              <w:rPr>
                <w:rFonts w:hint="default" w:ascii="Times New Roman" w:hAnsi="Times New Roman" w:eastAsia="方正仿宋简体" w:cs="Times New Roman"/>
                <w:b w:val="0"/>
                <w:bCs w:val="0"/>
                <w:color w:val="auto"/>
                <w:spacing w:val="0"/>
                <w:kern w:val="2"/>
                <w:sz w:val="20"/>
                <w:szCs w:val="20"/>
                <w:u w:val="none"/>
                <w:lang w:val="en-US" w:eastAsia="zh-CN" w:bidi="ar-SA"/>
              </w:rPr>
              <w:t xml:space="preserve">条 </w:t>
            </w:r>
            <w:r>
              <w:rPr>
                <w:rFonts w:hint="eastAsia" w:ascii="Times New Roman" w:hAnsi="Times New Roman" w:eastAsia="方正仿宋简体" w:cs="Times New Roman"/>
                <w:b w:val="0"/>
                <w:bCs w:val="0"/>
                <w:color w:val="auto"/>
                <w:spacing w:val="0"/>
                <w:kern w:val="2"/>
                <w:sz w:val="20"/>
                <w:szCs w:val="20"/>
                <w:u w:val="none"/>
                <w:lang w:val="en-US" w:eastAsia="zh-CN" w:bidi="ar-SA"/>
              </w:rPr>
              <w:t>军官离职休养和军级以上职务军官退休后，按照国务院和中央军事委员会的有关规定安置管理。</w:t>
            </w:r>
            <w:r>
              <w:rPr>
                <w:rFonts w:hint="eastAsia" w:ascii="Times New Roman" w:hAnsi="Times New Roman" w:eastAsia="方正仿宋简体" w:cs="Times New Roman"/>
                <w:b w:val="0"/>
                <w:bCs w:val="0"/>
                <w:color w:val="auto"/>
                <w:spacing w:val="0"/>
                <w:kern w:val="2"/>
                <w:sz w:val="20"/>
                <w:szCs w:val="20"/>
                <w:u w:val="none"/>
                <w:lang w:val="en-US" w:eastAsia="zh-CN" w:bidi="ar-SA"/>
              </w:rPr>
              <w:br w:type="textWrapping"/>
            </w:r>
            <w:r>
              <w:rPr>
                <w:rFonts w:hint="eastAsia" w:ascii="Times New Roman" w:hAnsi="Times New Roman" w:eastAsia="方正仿宋简体" w:cs="Times New Roman"/>
                <w:b w:val="0"/>
                <w:bCs w:val="0"/>
                <w:color w:val="auto"/>
                <w:spacing w:val="0"/>
                <w:kern w:val="2"/>
                <w:sz w:val="20"/>
                <w:szCs w:val="20"/>
                <w:u w:val="none"/>
                <w:lang w:val="en-US" w:eastAsia="zh-CN" w:bidi="ar-SA"/>
              </w:rPr>
              <w:t xml:space="preserve">    本法施行前已经按照自主择业方式安置的退役军人的待遇保障，按照国务院和中央军事委员会的有关规定执行。</w:t>
            </w:r>
            <w:r>
              <w:rPr>
                <w:rFonts w:hint="eastAsia" w:ascii="Times New Roman" w:hAnsi="Times New Roman" w:eastAsia="方正仿宋简体" w:cs="Times New Roman"/>
                <w:b w:val="0"/>
                <w:bCs w:val="0"/>
                <w:color w:val="auto"/>
                <w:spacing w:val="0"/>
                <w:kern w:val="2"/>
                <w:sz w:val="20"/>
                <w:szCs w:val="20"/>
                <w:u w:val="none"/>
                <w:lang w:val="en-US" w:eastAsia="zh-CN" w:bidi="ar-SA"/>
              </w:rPr>
              <w:br w:type="textWrapping"/>
            </w:r>
            <w:r>
              <w:rPr>
                <w:rFonts w:hint="eastAsia" w:ascii="Times New Roman" w:hAnsi="Times New Roman" w:eastAsia="方正仿宋简体" w:cs="Times New Roman"/>
                <w:b w:val="0"/>
                <w:bCs w:val="0"/>
                <w:color w:val="auto"/>
                <w:spacing w:val="0"/>
                <w:kern w:val="2"/>
                <w:sz w:val="20"/>
                <w:szCs w:val="20"/>
                <w:u w:val="none"/>
                <w:lang w:val="en-US" w:eastAsia="zh-CN" w:bidi="ar-SA"/>
              </w:rPr>
              <w:t xml:space="preserve">    2.《军队转业干部安置暂行办法》第三十八条 自主择业的军队转业干部，由安置地政府逐月发给退役金。团级职务和军龄满20年的营级职务军队转业干部的月退役金，按照本人转业时安置地同职务等级军队干部职务、军衔（级别）工资和军队统一规定的津贴补贴为计发基数80%的数额与基础、军龄工资的全额之和计发。军龄满20年以上的，从第21年起，军龄每增加一年，增发月退役金计发基数1%。</w:t>
            </w:r>
          </w:p>
        </w:tc>
        <w:tc>
          <w:tcPr>
            <w:tcW w:w="1841" w:type="dxa"/>
            <w:vAlign w:val="center"/>
          </w:tcPr>
          <w:p w14:paraId="74EBA9B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选择自主择业且安置在西藏的军队转业干部</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0C1509F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2332" w:type="dxa"/>
            <w:vAlign w:val="center"/>
          </w:tcPr>
          <w:p w14:paraId="32F9B9F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户籍</w:t>
            </w:r>
            <w:r>
              <w:rPr>
                <w:rFonts w:hint="default" w:ascii="Times New Roman" w:hAnsi="Times New Roman" w:eastAsia="方正仿宋简体" w:cs="Times New Roman"/>
                <w:b w:val="0"/>
                <w:bCs w:val="0"/>
                <w:color w:val="auto"/>
                <w:spacing w:val="0"/>
                <w:kern w:val="2"/>
                <w:sz w:val="20"/>
                <w:szCs w:val="20"/>
                <w:u w:val="none"/>
                <w:lang w:val="en-US" w:eastAsia="zh-CN" w:bidi="ar-SA"/>
              </w:rPr>
              <w:t>所在地</w:t>
            </w:r>
            <w:r>
              <w:rPr>
                <w:rFonts w:hint="eastAsia" w:ascii="Times New Roman" w:hAnsi="Times New Roman" w:eastAsia="方正仿宋简体" w:cs="Times New Roman"/>
                <w:b w:val="0"/>
                <w:bCs w:val="0"/>
                <w:color w:val="auto"/>
                <w:spacing w:val="0"/>
                <w:kern w:val="2"/>
                <w:sz w:val="20"/>
                <w:szCs w:val="20"/>
                <w:u w:val="none"/>
                <w:lang w:val="en-US" w:eastAsia="zh-CN" w:bidi="ar-SA"/>
              </w:rPr>
              <w:t>市</w:t>
            </w:r>
            <w:r>
              <w:rPr>
                <w:rFonts w:hint="default" w:ascii="Times New Roman" w:hAnsi="Times New Roman" w:eastAsia="方正仿宋简体" w:cs="Times New Roman"/>
                <w:b w:val="0"/>
                <w:bCs w:val="0"/>
                <w:color w:val="auto"/>
                <w:spacing w:val="0"/>
                <w:kern w:val="2"/>
                <w:sz w:val="20"/>
                <w:szCs w:val="20"/>
                <w:u w:val="none"/>
                <w:lang w:val="en-US" w:eastAsia="zh-CN" w:bidi="ar-SA"/>
              </w:rPr>
              <w:t>级人民政府</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退役军人工作主管部门审核其身份和待遇发放额度</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094E7B5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w:t>
            </w:r>
            <w:r>
              <w:rPr>
                <w:rFonts w:hint="eastAsia" w:ascii="Times New Roman" w:hAnsi="Times New Roman" w:eastAsia="方正仿宋简体" w:cs="Times New Roman"/>
                <w:b w:val="0"/>
                <w:bCs w:val="0"/>
                <w:color w:val="auto"/>
                <w:spacing w:val="0"/>
                <w:kern w:val="2"/>
                <w:sz w:val="20"/>
                <w:szCs w:val="20"/>
                <w:u w:val="none"/>
                <w:lang w:val="en-US" w:eastAsia="zh-CN" w:bidi="ar-SA"/>
              </w:rPr>
              <w:t>省</w:t>
            </w:r>
            <w:r>
              <w:rPr>
                <w:rFonts w:hint="default" w:ascii="Times New Roman" w:hAnsi="Times New Roman" w:eastAsia="方正仿宋简体" w:cs="Times New Roman"/>
                <w:b w:val="0"/>
                <w:bCs w:val="0"/>
                <w:color w:val="auto"/>
                <w:spacing w:val="0"/>
                <w:kern w:val="2"/>
                <w:sz w:val="20"/>
                <w:szCs w:val="20"/>
                <w:u w:val="none"/>
                <w:lang w:val="en-US" w:eastAsia="zh-CN" w:bidi="ar-SA"/>
              </w:rPr>
              <w:t>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退役军人工作主管部门复</w:t>
            </w:r>
            <w:r>
              <w:rPr>
                <w:rFonts w:hint="default" w:ascii="Times New Roman" w:hAnsi="Times New Roman" w:eastAsia="方正仿宋简体" w:cs="Times New Roman"/>
                <w:b w:val="0"/>
                <w:bCs w:val="0"/>
                <w:color w:val="auto"/>
                <w:spacing w:val="0"/>
                <w:kern w:val="2"/>
                <w:sz w:val="20"/>
                <w:szCs w:val="20"/>
                <w:u w:val="none"/>
                <w:lang w:val="en-US" w:eastAsia="zh-CN" w:bidi="ar-SA"/>
              </w:rPr>
              <w:t>核；</w:t>
            </w:r>
          </w:p>
          <w:p w14:paraId="22BDEF4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w:t>
            </w:r>
            <w:r>
              <w:rPr>
                <w:rFonts w:hint="eastAsia" w:ascii="Times New Roman" w:hAnsi="Times New Roman" w:eastAsia="方正仿宋简体" w:cs="Times New Roman"/>
                <w:b w:val="0"/>
                <w:bCs w:val="0"/>
                <w:color w:val="auto"/>
                <w:spacing w:val="0"/>
                <w:kern w:val="2"/>
                <w:sz w:val="20"/>
                <w:szCs w:val="20"/>
                <w:u w:val="none"/>
                <w:lang w:val="en-US" w:eastAsia="zh-CN" w:bidi="ar-SA"/>
              </w:rPr>
              <w:t>省</w:t>
            </w:r>
            <w:r>
              <w:rPr>
                <w:rFonts w:hint="default" w:ascii="Times New Roman" w:hAnsi="Times New Roman" w:eastAsia="方正仿宋简体" w:cs="Times New Roman"/>
                <w:b w:val="0"/>
                <w:bCs w:val="0"/>
                <w:color w:val="auto"/>
                <w:spacing w:val="0"/>
                <w:kern w:val="2"/>
                <w:sz w:val="20"/>
                <w:szCs w:val="20"/>
                <w:u w:val="none"/>
                <w:lang w:val="en-US" w:eastAsia="zh-CN" w:bidi="ar-SA"/>
              </w:rPr>
              <w:t>级财政部门审核、拨付资金；</w:t>
            </w:r>
          </w:p>
          <w:p w14:paraId="64D9E60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4.代发金融机构将资金发放到</w:t>
            </w:r>
            <w:r>
              <w:rPr>
                <w:rFonts w:hint="eastAsia" w:ascii="Times New Roman" w:hAnsi="Times New Roman" w:eastAsia="方正仿宋简体" w:cs="Times New Roman"/>
                <w:b w:val="0"/>
                <w:bCs w:val="0"/>
                <w:color w:val="auto"/>
                <w:spacing w:val="0"/>
                <w:kern w:val="2"/>
                <w:sz w:val="20"/>
                <w:szCs w:val="20"/>
                <w:u w:val="none"/>
                <w:lang w:val="en-US" w:eastAsia="zh-CN" w:bidi="ar-SA"/>
              </w:rPr>
              <w:t>自主择业军转干部</w:t>
            </w:r>
            <w:r>
              <w:rPr>
                <w:rFonts w:hint="default" w:ascii="Times New Roman" w:hAnsi="Times New Roman" w:eastAsia="方正仿宋简体" w:cs="Times New Roman"/>
                <w:b w:val="0"/>
                <w:bCs w:val="0"/>
                <w:color w:val="auto"/>
                <w:spacing w:val="0"/>
                <w:kern w:val="2"/>
                <w:sz w:val="20"/>
                <w:szCs w:val="20"/>
                <w:u w:val="none"/>
                <w:lang w:val="en-US" w:eastAsia="zh-CN" w:bidi="ar-SA"/>
              </w:rPr>
              <w:t>个人指定账户。</w:t>
            </w:r>
          </w:p>
          <w:p w14:paraId="10A94DC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092FB7D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405F4DA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81" w:type="dxa"/>
            <w:vAlign w:val="center"/>
          </w:tcPr>
          <w:p w14:paraId="450F17C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每月10日前</w:t>
            </w:r>
            <w:r>
              <w:rPr>
                <w:rFonts w:hint="default" w:ascii="Times New Roman" w:hAnsi="Times New Roman" w:eastAsia="方正仿宋简体" w:cs="Times New Roman"/>
                <w:b w:val="0"/>
                <w:bCs w:val="0"/>
                <w:color w:val="auto"/>
                <w:spacing w:val="0"/>
                <w:kern w:val="2"/>
                <w:sz w:val="20"/>
                <w:szCs w:val="20"/>
                <w:u w:val="none"/>
                <w:lang w:val="en-US" w:eastAsia="zh-CN" w:bidi="ar-SA"/>
              </w:rPr>
              <w:t>发放</w:t>
            </w:r>
            <w:r>
              <w:rPr>
                <w:rFonts w:hint="eastAsia" w:ascii="Times New Roman" w:hAnsi="Times New Roman" w:eastAsia="方正仿宋简体" w:cs="Times New Roman"/>
                <w:b w:val="0"/>
                <w:bCs w:val="0"/>
                <w:color w:val="auto"/>
                <w:spacing w:val="0"/>
                <w:kern w:val="2"/>
                <w:sz w:val="20"/>
                <w:szCs w:val="20"/>
                <w:u w:val="none"/>
                <w:lang w:val="en-US" w:eastAsia="zh-CN" w:bidi="ar-SA"/>
              </w:rPr>
              <w:t>，遇节假日等情况可能提前或延后发放。</w:t>
            </w:r>
          </w:p>
        </w:tc>
        <w:tc>
          <w:tcPr>
            <w:tcW w:w="1596" w:type="dxa"/>
            <w:vAlign w:val="center"/>
          </w:tcPr>
          <w:p w14:paraId="329AED3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3E74ACB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无</w:t>
            </w:r>
          </w:p>
        </w:tc>
      </w:tr>
      <w:tr w14:paraId="1EDD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5DCCE7A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11</w:t>
            </w:r>
          </w:p>
        </w:tc>
        <w:tc>
          <w:tcPr>
            <w:tcW w:w="791" w:type="dxa"/>
            <w:vAlign w:val="center"/>
          </w:tcPr>
          <w:p w14:paraId="584C3E0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自主择业转业干部抚恤金和丧葬补助费的发放</w:t>
            </w:r>
          </w:p>
        </w:tc>
        <w:tc>
          <w:tcPr>
            <w:tcW w:w="709" w:type="dxa"/>
            <w:vAlign w:val="center"/>
          </w:tcPr>
          <w:p w14:paraId="5574EB6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行政给付</w:t>
            </w:r>
          </w:p>
        </w:tc>
        <w:tc>
          <w:tcPr>
            <w:tcW w:w="4446" w:type="dxa"/>
            <w:vAlign w:val="center"/>
          </w:tcPr>
          <w:p w14:paraId="4A17C97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军队转业安置暂行办法</w:t>
            </w:r>
            <w:r>
              <w:rPr>
                <w:rFonts w:hint="default" w:ascii="Times New Roman" w:hAnsi="Times New Roman" w:eastAsia="方正仿宋简体" w:cs="Times New Roman"/>
                <w:b w:val="0"/>
                <w:bCs w:val="0"/>
                <w:color w:val="auto"/>
                <w:spacing w:val="0"/>
                <w:kern w:val="2"/>
                <w:sz w:val="20"/>
                <w:szCs w:val="20"/>
                <w:u w:val="none"/>
                <w:lang w:val="en-US" w:eastAsia="zh-CN" w:bidi="ar-SA"/>
              </w:rPr>
              <w:t>》第</w:t>
            </w:r>
            <w:r>
              <w:rPr>
                <w:rFonts w:hint="eastAsia" w:ascii="Times New Roman" w:hAnsi="Times New Roman" w:eastAsia="方正仿宋简体" w:cs="Times New Roman"/>
                <w:b w:val="0"/>
                <w:bCs w:val="0"/>
                <w:color w:val="auto"/>
                <w:spacing w:val="0"/>
                <w:kern w:val="2"/>
                <w:sz w:val="20"/>
                <w:szCs w:val="20"/>
                <w:u w:val="none"/>
                <w:lang w:val="en-US" w:eastAsia="zh-CN" w:bidi="ar-SA"/>
              </w:rPr>
              <w:t>四</w:t>
            </w:r>
            <w:r>
              <w:rPr>
                <w:rFonts w:hint="default" w:ascii="Times New Roman" w:hAnsi="Times New Roman" w:eastAsia="方正仿宋简体" w:cs="Times New Roman"/>
                <w:b w:val="0"/>
                <w:bCs w:val="0"/>
                <w:color w:val="auto"/>
                <w:spacing w:val="0"/>
                <w:kern w:val="2"/>
                <w:sz w:val="20"/>
                <w:szCs w:val="20"/>
                <w:u w:val="none"/>
                <w:lang w:val="en-US" w:eastAsia="zh-CN" w:bidi="ar-SA"/>
              </w:rPr>
              <w:t>十</w:t>
            </w:r>
            <w:r>
              <w:rPr>
                <w:rFonts w:hint="eastAsia" w:ascii="Times New Roman" w:hAnsi="Times New Roman" w:eastAsia="方正仿宋简体" w:cs="Times New Roman"/>
                <w:b w:val="0"/>
                <w:bCs w:val="0"/>
                <w:color w:val="auto"/>
                <w:spacing w:val="0"/>
                <w:kern w:val="2"/>
                <w:sz w:val="20"/>
                <w:szCs w:val="20"/>
                <w:u w:val="none"/>
                <w:lang w:val="en-US" w:eastAsia="zh-CN" w:bidi="ar-SA"/>
              </w:rPr>
              <w:t>一</w:t>
            </w:r>
            <w:r>
              <w:rPr>
                <w:rFonts w:hint="default" w:ascii="Times New Roman" w:hAnsi="Times New Roman" w:eastAsia="方正仿宋简体" w:cs="Times New Roman"/>
                <w:b w:val="0"/>
                <w:bCs w:val="0"/>
                <w:color w:val="auto"/>
                <w:spacing w:val="0"/>
                <w:kern w:val="2"/>
                <w:sz w:val="20"/>
                <w:szCs w:val="20"/>
                <w:u w:val="none"/>
                <w:lang w:val="en-US" w:eastAsia="zh-CN" w:bidi="ar-SA"/>
              </w:rPr>
              <w:t>条 自主择业的军队转业干部去世后，从去世的下月起停发退役金。区别不同情况，一次发给本人生前10个月至40个月的退役金作为抚恤金和一定数额的退役金作为丧葬补助费。具体办法由有关部门另行制定。</w:t>
            </w:r>
          </w:p>
          <w:p w14:paraId="34E7F5B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2.</w:t>
            </w: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关于自主择业转业干部安置管理若干问题的意见</w:t>
            </w:r>
            <w:r>
              <w:rPr>
                <w:rFonts w:hint="default" w:ascii="Times New Roman" w:hAnsi="Times New Roman" w:eastAsia="方正仿宋简体" w:cs="Times New Roman"/>
                <w:b w:val="0"/>
                <w:bCs w:val="0"/>
                <w:color w:val="auto"/>
                <w:spacing w:val="0"/>
                <w:kern w:val="2"/>
                <w:sz w:val="20"/>
                <w:szCs w:val="20"/>
                <w:u w:val="none"/>
                <w:lang w:val="en-US" w:eastAsia="zh-CN" w:bidi="ar-SA"/>
              </w:rPr>
              <w:t>》第</w:t>
            </w:r>
            <w:r>
              <w:rPr>
                <w:rFonts w:hint="eastAsia" w:ascii="Times New Roman" w:hAnsi="Times New Roman" w:eastAsia="方正仿宋简体" w:cs="Times New Roman"/>
                <w:b w:val="0"/>
                <w:bCs w:val="0"/>
                <w:color w:val="auto"/>
                <w:spacing w:val="0"/>
                <w:kern w:val="2"/>
                <w:sz w:val="20"/>
                <w:szCs w:val="20"/>
                <w:u w:val="none"/>
                <w:lang w:val="en-US" w:eastAsia="zh-CN" w:bidi="ar-SA"/>
              </w:rPr>
              <w:t>九</w:t>
            </w:r>
            <w:r>
              <w:rPr>
                <w:rFonts w:hint="default" w:ascii="Times New Roman" w:hAnsi="Times New Roman" w:eastAsia="方正仿宋简体" w:cs="Times New Roman"/>
                <w:b w:val="0"/>
                <w:bCs w:val="0"/>
                <w:color w:val="auto"/>
                <w:spacing w:val="0"/>
                <w:kern w:val="2"/>
                <w:sz w:val="20"/>
                <w:szCs w:val="20"/>
                <w:u w:val="none"/>
                <w:lang w:val="en-US" w:eastAsia="zh-CN" w:bidi="ar-SA"/>
              </w:rPr>
              <w:t>条</w:t>
            </w:r>
            <w:r>
              <w:rPr>
                <w:rFonts w:hint="eastAsia" w:ascii="Times New Roman" w:hAnsi="Times New Roman" w:eastAsia="方正仿宋简体" w:cs="Times New Roman"/>
                <w:b w:val="0"/>
                <w:bCs w:val="0"/>
                <w:color w:val="auto"/>
                <w:spacing w:val="0"/>
                <w:kern w:val="2"/>
                <w:sz w:val="20"/>
                <w:szCs w:val="20"/>
                <w:u w:val="none"/>
                <w:lang w:val="en-US" w:eastAsia="zh-CN" w:bidi="ar-SA"/>
              </w:rPr>
              <w:t xml:space="preserve"> 自主择业的军队转业干部去世后，一次发给抚恤金和丧葬补助费，所需经费由中央财政支付。抚恤金标准：被批准为革命烈士的，为本人生前40个月的退役金；因公死亡的，为本人生前20个月的退役金；病故的，为本人生前10个月的退役金。丧葬补助费标准为本人生前12个月的退役金。</w:t>
            </w:r>
          </w:p>
        </w:tc>
        <w:tc>
          <w:tcPr>
            <w:tcW w:w="1841" w:type="dxa"/>
            <w:vAlign w:val="center"/>
          </w:tcPr>
          <w:p w14:paraId="6C09469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安置在西藏的自主择业转业干部确认亡故的</w:t>
            </w:r>
          </w:p>
        </w:tc>
        <w:tc>
          <w:tcPr>
            <w:tcW w:w="2332" w:type="dxa"/>
            <w:vAlign w:val="center"/>
          </w:tcPr>
          <w:p w14:paraId="19E0849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自主择业转业干部遗属</w:t>
            </w:r>
            <w:r>
              <w:rPr>
                <w:rFonts w:hint="default" w:ascii="Times New Roman" w:hAnsi="Times New Roman" w:eastAsia="方正仿宋简体" w:cs="Times New Roman"/>
                <w:b w:val="0"/>
                <w:bCs w:val="0"/>
                <w:color w:val="auto"/>
                <w:spacing w:val="0"/>
                <w:kern w:val="2"/>
                <w:sz w:val="20"/>
                <w:szCs w:val="20"/>
                <w:u w:val="none"/>
                <w:lang w:val="en-US" w:eastAsia="zh-CN" w:bidi="ar-SA"/>
              </w:rPr>
              <w:t>向</w:t>
            </w:r>
            <w:r>
              <w:rPr>
                <w:rFonts w:hint="eastAsia" w:ascii="Times New Roman" w:hAnsi="Times New Roman" w:eastAsia="方正仿宋简体" w:cs="Times New Roman"/>
                <w:b w:val="0"/>
                <w:bCs w:val="0"/>
                <w:color w:val="auto"/>
                <w:spacing w:val="0"/>
                <w:kern w:val="2"/>
                <w:sz w:val="20"/>
                <w:szCs w:val="20"/>
                <w:u w:val="none"/>
                <w:lang w:val="en-US" w:eastAsia="zh-CN" w:bidi="ar-SA"/>
              </w:rPr>
              <w:t>安置</w:t>
            </w:r>
            <w:r>
              <w:rPr>
                <w:rFonts w:hint="default" w:ascii="Times New Roman" w:hAnsi="Times New Roman" w:eastAsia="方正仿宋简体" w:cs="Times New Roman"/>
                <w:b w:val="0"/>
                <w:bCs w:val="0"/>
                <w:color w:val="auto"/>
                <w:spacing w:val="0"/>
                <w:kern w:val="2"/>
                <w:sz w:val="20"/>
                <w:szCs w:val="20"/>
                <w:u w:val="none"/>
                <w:lang w:val="en-US" w:eastAsia="zh-CN" w:bidi="ar-SA"/>
              </w:rPr>
              <w:t>地</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提出申请</w:t>
            </w:r>
            <w:r>
              <w:rPr>
                <w:rFonts w:hint="eastAsia" w:ascii="Times New Roman" w:hAnsi="Times New Roman" w:eastAsia="方正仿宋简体" w:cs="Times New Roman"/>
                <w:b w:val="0"/>
                <w:bCs w:val="0"/>
                <w:color w:val="auto"/>
                <w:spacing w:val="0"/>
                <w:kern w:val="2"/>
                <w:sz w:val="20"/>
                <w:szCs w:val="20"/>
                <w:u w:val="none"/>
                <w:lang w:val="en-US" w:eastAsia="zh-CN" w:bidi="ar-SA"/>
              </w:rPr>
              <w:t>和去世相关证明材料</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594E08F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w:t>
            </w:r>
            <w:r>
              <w:rPr>
                <w:rFonts w:hint="eastAsia" w:ascii="Times New Roman" w:hAnsi="Times New Roman" w:eastAsia="方正仿宋简体" w:cs="Times New Roman"/>
                <w:b w:val="0"/>
                <w:bCs w:val="0"/>
                <w:color w:val="auto"/>
                <w:spacing w:val="0"/>
                <w:kern w:val="2"/>
                <w:sz w:val="20"/>
                <w:szCs w:val="20"/>
                <w:u w:val="none"/>
                <w:lang w:val="en-US" w:eastAsia="zh-CN" w:bidi="ar-SA"/>
              </w:rPr>
              <w:t>省</w:t>
            </w:r>
            <w:r>
              <w:rPr>
                <w:rFonts w:hint="default" w:ascii="Times New Roman" w:hAnsi="Times New Roman" w:eastAsia="方正仿宋简体" w:cs="Times New Roman"/>
                <w:b w:val="0"/>
                <w:bCs w:val="0"/>
                <w:color w:val="auto"/>
                <w:spacing w:val="0"/>
                <w:kern w:val="2"/>
                <w:sz w:val="20"/>
                <w:szCs w:val="20"/>
                <w:u w:val="none"/>
                <w:lang w:val="en-US" w:eastAsia="zh-CN" w:bidi="ar-SA"/>
              </w:rPr>
              <w:t>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审核；</w:t>
            </w:r>
          </w:p>
          <w:p w14:paraId="1DB189E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w:t>
            </w:r>
            <w:r>
              <w:rPr>
                <w:rFonts w:hint="eastAsia" w:ascii="Times New Roman" w:hAnsi="Times New Roman" w:eastAsia="方正仿宋简体" w:cs="Times New Roman"/>
                <w:b w:val="0"/>
                <w:bCs w:val="0"/>
                <w:color w:val="auto"/>
                <w:spacing w:val="0"/>
                <w:kern w:val="2"/>
                <w:sz w:val="20"/>
                <w:szCs w:val="20"/>
                <w:u w:val="none"/>
                <w:lang w:val="en-US" w:eastAsia="zh-CN" w:bidi="ar-SA"/>
              </w:rPr>
              <w:t>省</w:t>
            </w:r>
            <w:r>
              <w:rPr>
                <w:rFonts w:hint="default" w:ascii="Times New Roman" w:hAnsi="Times New Roman" w:eastAsia="方正仿宋简体" w:cs="Times New Roman"/>
                <w:b w:val="0"/>
                <w:bCs w:val="0"/>
                <w:color w:val="auto"/>
                <w:spacing w:val="0"/>
                <w:kern w:val="2"/>
                <w:sz w:val="20"/>
                <w:szCs w:val="20"/>
                <w:u w:val="none"/>
                <w:lang w:val="en-US" w:eastAsia="zh-CN" w:bidi="ar-SA"/>
              </w:rPr>
              <w:t>级财政部门审核、拨付资金；</w:t>
            </w:r>
          </w:p>
          <w:p w14:paraId="1B4EB5F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4.代发金融机构将资金发放到</w:t>
            </w:r>
            <w:r>
              <w:rPr>
                <w:rFonts w:hint="eastAsia" w:ascii="Times New Roman" w:hAnsi="Times New Roman" w:eastAsia="方正仿宋简体" w:cs="Times New Roman"/>
                <w:b w:val="0"/>
                <w:bCs w:val="0"/>
                <w:color w:val="auto"/>
                <w:spacing w:val="0"/>
                <w:kern w:val="2"/>
                <w:sz w:val="20"/>
                <w:szCs w:val="20"/>
                <w:u w:val="none"/>
                <w:lang w:val="en-US" w:eastAsia="zh-CN" w:bidi="ar-SA"/>
              </w:rPr>
              <w:t>其</w:t>
            </w:r>
            <w:r>
              <w:rPr>
                <w:rFonts w:hint="default" w:ascii="Times New Roman" w:hAnsi="Times New Roman" w:eastAsia="方正仿宋简体" w:cs="Times New Roman"/>
                <w:b w:val="0"/>
                <w:bCs w:val="0"/>
                <w:color w:val="auto"/>
                <w:spacing w:val="0"/>
                <w:kern w:val="2"/>
                <w:sz w:val="20"/>
                <w:szCs w:val="20"/>
                <w:u w:val="none"/>
                <w:lang w:val="en-US" w:eastAsia="zh-CN" w:bidi="ar-SA"/>
              </w:rPr>
              <w:t>遗属个人指定账户。</w:t>
            </w:r>
          </w:p>
        </w:tc>
        <w:tc>
          <w:tcPr>
            <w:tcW w:w="1581" w:type="dxa"/>
            <w:vAlign w:val="center"/>
          </w:tcPr>
          <w:p w14:paraId="0B5F233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自收到</w:t>
            </w:r>
            <w:r>
              <w:rPr>
                <w:rFonts w:hint="eastAsia" w:ascii="Times New Roman" w:hAnsi="Times New Roman" w:eastAsia="方正仿宋简体" w:cs="Times New Roman"/>
                <w:b w:val="0"/>
                <w:bCs w:val="0"/>
                <w:color w:val="auto"/>
                <w:spacing w:val="0"/>
                <w:kern w:val="2"/>
                <w:sz w:val="20"/>
                <w:szCs w:val="20"/>
                <w:u w:val="none"/>
                <w:lang w:val="en-US" w:eastAsia="zh-CN" w:bidi="ar-SA"/>
              </w:rPr>
              <w:t>自主择业转业干部</w:t>
            </w:r>
            <w:r>
              <w:rPr>
                <w:rFonts w:hint="default" w:ascii="Times New Roman" w:hAnsi="Times New Roman" w:eastAsia="方正仿宋简体" w:cs="Times New Roman"/>
                <w:b w:val="0"/>
                <w:bCs w:val="0"/>
                <w:color w:val="auto"/>
                <w:spacing w:val="0"/>
                <w:kern w:val="2"/>
                <w:sz w:val="20"/>
                <w:szCs w:val="20"/>
                <w:u w:val="none"/>
                <w:lang w:val="en-US" w:eastAsia="zh-CN" w:bidi="ar-SA"/>
              </w:rPr>
              <w:t>遗属申请之日起60个工作日内发放。</w:t>
            </w:r>
          </w:p>
        </w:tc>
        <w:tc>
          <w:tcPr>
            <w:tcW w:w="1596" w:type="dxa"/>
            <w:vAlign w:val="center"/>
          </w:tcPr>
          <w:p w14:paraId="733C5CF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1.申请书；</w:t>
            </w:r>
          </w:p>
          <w:p w14:paraId="4F3E7DD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2.病故证明书；</w:t>
            </w:r>
          </w:p>
          <w:p w14:paraId="6C7FE71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3.申请人与病故</w:t>
            </w:r>
            <w:r>
              <w:rPr>
                <w:rFonts w:hint="eastAsia" w:ascii="Times New Roman" w:hAnsi="Times New Roman" w:eastAsia="方正仿宋简体" w:cs="Times New Roman"/>
                <w:b w:val="0"/>
                <w:bCs w:val="0"/>
                <w:color w:val="auto"/>
                <w:spacing w:val="0"/>
                <w:kern w:val="2"/>
                <w:sz w:val="20"/>
                <w:szCs w:val="20"/>
                <w:u w:val="none"/>
                <w:lang w:val="en-US" w:eastAsia="zh-CN" w:bidi="ar-SA"/>
              </w:rPr>
              <w:t>自主择业转业干部</w:t>
            </w:r>
            <w:r>
              <w:rPr>
                <w:rFonts w:hint="default" w:ascii="Times New Roman" w:hAnsi="Times New Roman" w:eastAsia="方正仿宋简体" w:cs="Times New Roman"/>
                <w:b w:val="0"/>
                <w:bCs w:val="0"/>
                <w:color w:val="auto"/>
                <w:spacing w:val="0"/>
                <w:kern w:val="2"/>
                <w:sz w:val="20"/>
                <w:szCs w:val="20"/>
                <w:u w:val="none"/>
                <w:lang w:val="en-US" w:eastAsia="zh-CN" w:bidi="ar-SA"/>
              </w:rPr>
              <w:t>关系证明；</w:t>
            </w:r>
          </w:p>
          <w:p w14:paraId="2A76DE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4.多个有权申请人之间签订的分配协议书；</w:t>
            </w:r>
          </w:p>
          <w:p w14:paraId="38E33A1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5</w:t>
            </w: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经申请人确认的</w:t>
            </w:r>
            <w:r>
              <w:rPr>
                <w:rFonts w:hint="default" w:ascii="Times New Roman" w:hAnsi="Times New Roman" w:eastAsia="方正仿宋简体" w:cs="Times New Roman"/>
                <w:b w:val="0"/>
                <w:bCs w:val="0"/>
                <w:color w:val="auto"/>
                <w:spacing w:val="0"/>
                <w:kern w:val="2"/>
                <w:sz w:val="20"/>
                <w:szCs w:val="20"/>
                <w:u w:val="none"/>
                <w:lang w:val="en-US" w:eastAsia="zh-CN" w:bidi="ar-SA"/>
              </w:rPr>
              <w:t>银行卡</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存折账户</w:t>
            </w:r>
            <w:r>
              <w:rPr>
                <w:rFonts w:hint="eastAsia" w:ascii="Times New Roman" w:hAnsi="Times New Roman" w:eastAsia="方正仿宋简体" w:cs="Times New Roman"/>
                <w:b w:val="0"/>
                <w:bCs w:val="0"/>
                <w:color w:val="auto"/>
                <w:spacing w:val="0"/>
                <w:kern w:val="2"/>
                <w:sz w:val="20"/>
                <w:szCs w:val="20"/>
                <w:u w:val="none"/>
                <w:lang w:val="en-US" w:eastAsia="zh-CN" w:bidi="ar-SA"/>
              </w:rPr>
              <w:t>等合法银行账户</w:t>
            </w:r>
            <w:r>
              <w:rPr>
                <w:rFonts w:hint="default" w:ascii="Times New Roman" w:hAnsi="Times New Roman" w:eastAsia="方正仿宋简体" w:cs="Times New Roman"/>
                <w:b w:val="0"/>
                <w:bCs w:val="0"/>
                <w:color w:val="auto"/>
                <w:spacing w:val="0"/>
                <w:kern w:val="2"/>
                <w:sz w:val="20"/>
                <w:szCs w:val="20"/>
                <w:u w:val="none"/>
                <w:lang w:val="en-US" w:eastAsia="zh-CN" w:bidi="ar-SA"/>
              </w:rPr>
              <w:t>信息。</w:t>
            </w:r>
          </w:p>
          <w:p w14:paraId="098C6C8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r>
      <w:tr w14:paraId="32B8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00C7B99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12</w:t>
            </w:r>
          </w:p>
        </w:tc>
        <w:tc>
          <w:tcPr>
            <w:tcW w:w="791" w:type="dxa"/>
            <w:vAlign w:val="center"/>
          </w:tcPr>
          <w:p w14:paraId="2DACB67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分散供养的残疾退役军士和义务兵购（建）房经费的发放</w:t>
            </w:r>
          </w:p>
        </w:tc>
        <w:tc>
          <w:tcPr>
            <w:tcW w:w="709" w:type="dxa"/>
            <w:vAlign w:val="center"/>
          </w:tcPr>
          <w:p w14:paraId="3DABE7A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行政给付</w:t>
            </w:r>
          </w:p>
        </w:tc>
        <w:tc>
          <w:tcPr>
            <w:tcW w:w="4446" w:type="dxa"/>
            <w:vAlign w:val="center"/>
          </w:tcPr>
          <w:p w14:paraId="2F1C058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退役军人安置</w:t>
            </w:r>
            <w:r>
              <w:rPr>
                <w:rFonts w:hint="default" w:ascii="Times New Roman" w:hAnsi="Times New Roman" w:eastAsia="方正仿宋简体" w:cs="Times New Roman"/>
                <w:b w:val="0"/>
                <w:bCs w:val="0"/>
                <w:color w:val="auto"/>
                <w:spacing w:val="0"/>
                <w:kern w:val="2"/>
                <w:sz w:val="20"/>
                <w:szCs w:val="20"/>
                <w:u w:val="none"/>
                <w:lang w:val="en-US" w:eastAsia="zh-CN" w:bidi="ar-SA"/>
              </w:rPr>
              <w:t>条例》第</w:t>
            </w:r>
            <w:r>
              <w:rPr>
                <w:rFonts w:hint="eastAsia" w:ascii="Times New Roman" w:hAnsi="Times New Roman" w:eastAsia="方正仿宋简体" w:cs="Times New Roman"/>
                <w:b w:val="0"/>
                <w:bCs w:val="0"/>
                <w:color w:val="auto"/>
                <w:spacing w:val="0"/>
                <w:kern w:val="2"/>
                <w:sz w:val="20"/>
                <w:szCs w:val="20"/>
                <w:u w:val="none"/>
                <w:lang w:val="en-US" w:eastAsia="zh-CN" w:bidi="ar-SA"/>
              </w:rPr>
              <w:t>七</w:t>
            </w:r>
            <w:r>
              <w:rPr>
                <w:rFonts w:hint="default" w:ascii="Times New Roman" w:hAnsi="Times New Roman" w:eastAsia="方正仿宋简体" w:cs="Times New Roman"/>
                <w:b w:val="0"/>
                <w:bCs w:val="0"/>
                <w:color w:val="auto"/>
                <w:spacing w:val="0"/>
                <w:kern w:val="2"/>
                <w:sz w:val="20"/>
                <w:szCs w:val="20"/>
                <w:u w:val="none"/>
                <w:lang w:val="en-US" w:eastAsia="zh-CN" w:bidi="ar-SA"/>
              </w:rPr>
              <w:t>十</w:t>
            </w:r>
            <w:r>
              <w:rPr>
                <w:rFonts w:hint="eastAsia" w:ascii="Times New Roman" w:hAnsi="Times New Roman" w:eastAsia="方正仿宋简体" w:cs="Times New Roman"/>
                <w:b w:val="0"/>
                <w:bCs w:val="0"/>
                <w:color w:val="auto"/>
                <w:spacing w:val="0"/>
                <w:kern w:val="2"/>
                <w:sz w:val="20"/>
                <w:szCs w:val="20"/>
                <w:u w:val="none"/>
                <w:lang w:val="en-US" w:eastAsia="zh-CN" w:bidi="ar-SA"/>
              </w:rPr>
              <w:t>八</w:t>
            </w:r>
            <w:r>
              <w:rPr>
                <w:rFonts w:hint="default" w:ascii="Times New Roman" w:hAnsi="Times New Roman" w:eastAsia="方正仿宋简体" w:cs="Times New Roman"/>
                <w:b w:val="0"/>
                <w:bCs w:val="0"/>
                <w:color w:val="auto"/>
                <w:spacing w:val="0"/>
                <w:kern w:val="2"/>
                <w:sz w:val="20"/>
                <w:szCs w:val="20"/>
                <w:u w:val="none"/>
                <w:lang w:val="en-US" w:eastAsia="zh-CN" w:bidi="ar-SA"/>
              </w:rPr>
              <w:t xml:space="preserve">条 </w:t>
            </w:r>
            <w:r>
              <w:rPr>
                <w:rFonts w:hint="eastAsia" w:ascii="Times New Roman" w:hAnsi="Times New Roman" w:eastAsia="方正仿宋简体" w:cs="Times New Roman"/>
                <w:b w:val="0"/>
                <w:bCs w:val="0"/>
                <w:color w:val="auto"/>
                <w:spacing w:val="0"/>
                <w:kern w:val="2"/>
                <w:sz w:val="20"/>
                <w:szCs w:val="20"/>
                <w:u w:val="none"/>
                <w:lang w:val="en-US" w:eastAsia="zh-CN" w:bidi="ar-SA"/>
              </w:rPr>
              <w:t>分散供养的退役军士和义务兵购（建）房所需经费的标准，按照安置地县（市、区、旗）经济适用住房平均价格和60平方米的建筑面积确定；没有经济适用住房的地区按照普通商品住房价格确定。所购（建）房屋产权归分散供养的退役军士和义务兵所有，依法办理不动产登记。</w:t>
            </w:r>
          </w:p>
          <w:p w14:paraId="6804A97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分散供养的退役军士和义务兵自行解决住房的，按照前款规定的标准将购（建）房费用发给本人。</w:t>
            </w:r>
          </w:p>
        </w:tc>
        <w:tc>
          <w:tcPr>
            <w:tcW w:w="1841" w:type="dxa"/>
            <w:vAlign w:val="center"/>
          </w:tcPr>
          <w:p w14:paraId="6C264E4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069CF2C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由西藏自治区负责分散供养的退役军士和义务兵</w:t>
            </w:r>
          </w:p>
        </w:tc>
        <w:tc>
          <w:tcPr>
            <w:tcW w:w="2332" w:type="dxa"/>
            <w:vAlign w:val="center"/>
          </w:tcPr>
          <w:p w14:paraId="3124376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1.县级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退役军人工作主管部门接到分散供养的退役军士和义务兵按照标准进行预算申请</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549B90B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2</w:t>
            </w:r>
            <w:r>
              <w:rPr>
                <w:rFonts w:hint="default" w:ascii="Times New Roman" w:hAnsi="Times New Roman" w:eastAsia="方正仿宋简体" w:cs="Times New Roman"/>
                <w:b w:val="0"/>
                <w:bCs w:val="0"/>
                <w:color w:val="auto"/>
                <w:spacing w:val="0"/>
                <w:kern w:val="2"/>
                <w:sz w:val="20"/>
                <w:szCs w:val="20"/>
                <w:u w:val="none"/>
                <w:lang w:val="en-US" w:eastAsia="zh-CN" w:bidi="ar-SA"/>
              </w:rPr>
              <w:t>.县级财政部门审核、拨付资金；</w:t>
            </w:r>
          </w:p>
          <w:p w14:paraId="7778F64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3</w:t>
            </w: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县级退役军人工作主管部门协助购房，或者由</w:t>
            </w:r>
            <w:r>
              <w:rPr>
                <w:rFonts w:hint="default" w:ascii="Times New Roman" w:hAnsi="Times New Roman" w:eastAsia="方正仿宋简体" w:cs="Times New Roman"/>
                <w:b w:val="0"/>
                <w:bCs w:val="0"/>
                <w:color w:val="auto"/>
                <w:spacing w:val="0"/>
                <w:kern w:val="2"/>
                <w:sz w:val="20"/>
                <w:szCs w:val="20"/>
                <w:u w:val="none"/>
                <w:lang w:val="en-US" w:eastAsia="zh-CN" w:bidi="ar-SA"/>
              </w:rPr>
              <w:t>代发金融机构</w:t>
            </w:r>
            <w:r>
              <w:rPr>
                <w:rFonts w:hint="eastAsia" w:ascii="Times New Roman" w:hAnsi="Times New Roman" w:eastAsia="方正仿宋简体" w:cs="Times New Roman"/>
                <w:b w:val="0"/>
                <w:bCs w:val="0"/>
                <w:color w:val="auto"/>
                <w:spacing w:val="0"/>
                <w:kern w:val="2"/>
                <w:sz w:val="20"/>
                <w:szCs w:val="20"/>
                <w:u w:val="none"/>
                <w:lang w:val="en-US" w:eastAsia="zh-CN" w:bidi="ar-SA"/>
              </w:rPr>
              <w:t>按照分散供养退役军士和义务兵要求</w:t>
            </w:r>
            <w:r>
              <w:rPr>
                <w:rFonts w:hint="default" w:ascii="Times New Roman" w:hAnsi="Times New Roman" w:eastAsia="方正仿宋简体" w:cs="Times New Roman"/>
                <w:b w:val="0"/>
                <w:bCs w:val="0"/>
                <w:color w:val="auto"/>
                <w:spacing w:val="0"/>
                <w:kern w:val="2"/>
                <w:sz w:val="20"/>
                <w:szCs w:val="20"/>
                <w:u w:val="none"/>
                <w:lang w:val="en-US" w:eastAsia="zh-CN" w:bidi="ar-SA"/>
              </w:rPr>
              <w:t>将资金发放到</w:t>
            </w:r>
            <w:r>
              <w:rPr>
                <w:rFonts w:hint="eastAsia" w:ascii="Times New Roman" w:hAnsi="Times New Roman" w:eastAsia="方正仿宋简体" w:cs="Times New Roman"/>
                <w:b w:val="0"/>
                <w:bCs w:val="0"/>
                <w:color w:val="auto"/>
                <w:spacing w:val="0"/>
                <w:kern w:val="2"/>
                <w:sz w:val="20"/>
                <w:szCs w:val="20"/>
                <w:u w:val="none"/>
                <w:lang w:val="en-US" w:eastAsia="zh-CN" w:bidi="ar-SA"/>
              </w:rPr>
              <w:t>其</w:t>
            </w:r>
            <w:r>
              <w:rPr>
                <w:rFonts w:hint="default" w:ascii="Times New Roman" w:hAnsi="Times New Roman" w:eastAsia="方正仿宋简体" w:cs="Times New Roman"/>
                <w:b w:val="0"/>
                <w:bCs w:val="0"/>
                <w:color w:val="auto"/>
                <w:spacing w:val="0"/>
                <w:kern w:val="2"/>
                <w:sz w:val="20"/>
                <w:szCs w:val="20"/>
                <w:u w:val="none"/>
                <w:lang w:val="en-US" w:eastAsia="zh-CN" w:bidi="ar-SA"/>
              </w:rPr>
              <w:t>个人指定账户。</w:t>
            </w:r>
          </w:p>
        </w:tc>
        <w:tc>
          <w:tcPr>
            <w:tcW w:w="1581" w:type="dxa"/>
            <w:vAlign w:val="center"/>
          </w:tcPr>
          <w:p w14:paraId="2901C02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自收到</w:t>
            </w:r>
            <w:r>
              <w:rPr>
                <w:rFonts w:hint="eastAsia" w:ascii="Times New Roman" w:hAnsi="Times New Roman" w:eastAsia="方正仿宋简体" w:cs="Times New Roman"/>
                <w:b w:val="0"/>
                <w:bCs w:val="0"/>
                <w:color w:val="auto"/>
                <w:spacing w:val="0"/>
                <w:kern w:val="2"/>
                <w:sz w:val="20"/>
                <w:szCs w:val="20"/>
                <w:u w:val="none"/>
                <w:lang w:val="en-US" w:eastAsia="zh-CN" w:bidi="ar-SA"/>
              </w:rPr>
              <w:t>分散供养的退役军士和义务兵购（建）房或自行解决住房需求后</w:t>
            </w:r>
            <w:r>
              <w:rPr>
                <w:rFonts w:hint="default" w:ascii="Times New Roman" w:hAnsi="Times New Roman" w:eastAsia="方正仿宋简体" w:cs="Times New Roman"/>
                <w:b w:val="0"/>
                <w:bCs w:val="0"/>
                <w:color w:val="auto"/>
                <w:spacing w:val="0"/>
                <w:kern w:val="2"/>
                <w:sz w:val="20"/>
                <w:szCs w:val="20"/>
                <w:u w:val="none"/>
                <w:lang w:val="en-US" w:eastAsia="zh-CN" w:bidi="ar-SA"/>
              </w:rPr>
              <w:t>之日起</w:t>
            </w:r>
            <w:r>
              <w:rPr>
                <w:rFonts w:hint="eastAsia" w:ascii="Times New Roman" w:hAnsi="Times New Roman" w:eastAsia="方正仿宋简体" w:cs="Times New Roman"/>
                <w:b w:val="0"/>
                <w:bCs w:val="0"/>
                <w:color w:val="auto"/>
                <w:spacing w:val="0"/>
                <w:kern w:val="2"/>
                <w:sz w:val="20"/>
                <w:szCs w:val="20"/>
                <w:u w:val="none"/>
                <w:lang w:val="en-US" w:eastAsia="zh-CN" w:bidi="ar-SA"/>
              </w:rPr>
              <w:t>18</w:t>
            </w:r>
            <w:r>
              <w:rPr>
                <w:rFonts w:hint="default" w:ascii="Times New Roman" w:hAnsi="Times New Roman" w:eastAsia="方正仿宋简体" w:cs="Times New Roman"/>
                <w:b w:val="0"/>
                <w:bCs w:val="0"/>
                <w:color w:val="auto"/>
                <w:spacing w:val="0"/>
                <w:kern w:val="2"/>
                <w:sz w:val="20"/>
                <w:szCs w:val="20"/>
                <w:u w:val="none"/>
                <w:lang w:val="en-US" w:eastAsia="zh-CN" w:bidi="ar-SA"/>
              </w:rPr>
              <w:t>0个工作日内发放。</w:t>
            </w:r>
          </w:p>
          <w:p w14:paraId="139F9A2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96" w:type="dxa"/>
            <w:vAlign w:val="center"/>
          </w:tcPr>
          <w:p w14:paraId="764148D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无</w:t>
            </w:r>
          </w:p>
        </w:tc>
      </w:tr>
      <w:tr w14:paraId="54BD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4" w:hRule="atLeast"/>
        </w:trPr>
        <w:tc>
          <w:tcPr>
            <w:tcW w:w="668" w:type="dxa"/>
            <w:vAlign w:val="center"/>
          </w:tcPr>
          <w:p w14:paraId="33077D7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13</w:t>
            </w:r>
          </w:p>
        </w:tc>
        <w:tc>
          <w:tcPr>
            <w:tcW w:w="791" w:type="dxa"/>
            <w:vAlign w:val="center"/>
          </w:tcPr>
          <w:p w14:paraId="0E69C6D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自主就业退役士兵一次性经济补助的发放</w:t>
            </w:r>
          </w:p>
        </w:tc>
        <w:tc>
          <w:tcPr>
            <w:tcW w:w="709" w:type="dxa"/>
            <w:vAlign w:val="center"/>
          </w:tcPr>
          <w:p w14:paraId="0EA2744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行政给付</w:t>
            </w:r>
          </w:p>
        </w:tc>
        <w:tc>
          <w:tcPr>
            <w:tcW w:w="4446" w:type="dxa"/>
            <w:vAlign w:val="center"/>
          </w:tcPr>
          <w:p w14:paraId="1E7BC2E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退役军人安置</w:t>
            </w:r>
            <w:r>
              <w:rPr>
                <w:rFonts w:hint="default" w:ascii="Times New Roman" w:hAnsi="Times New Roman" w:eastAsia="方正仿宋简体" w:cs="Times New Roman"/>
                <w:b w:val="0"/>
                <w:bCs w:val="0"/>
                <w:color w:val="auto"/>
                <w:spacing w:val="0"/>
                <w:kern w:val="2"/>
                <w:sz w:val="20"/>
                <w:szCs w:val="20"/>
                <w:u w:val="none"/>
                <w:lang w:val="en-US" w:eastAsia="zh-CN" w:bidi="ar-SA"/>
              </w:rPr>
              <w:t>条例》第</w:t>
            </w:r>
            <w:r>
              <w:rPr>
                <w:rFonts w:hint="eastAsia" w:ascii="Times New Roman" w:hAnsi="Times New Roman" w:eastAsia="方正仿宋简体" w:cs="Times New Roman"/>
                <w:b w:val="0"/>
                <w:bCs w:val="0"/>
                <w:color w:val="auto"/>
                <w:spacing w:val="0"/>
                <w:kern w:val="2"/>
                <w:sz w:val="20"/>
                <w:szCs w:val="20"/>
                <w:u w:val="none"/>
                <w:lang w:val="en-US" w:eastAsia="zh-CN" w:bidi="ar-SA"/>
              </w:rPr>
              <w:t>二</w:t>
            </w:r>
            <w:r>
              <w:rPr>
                <w:rFonts w:hint="default" w:ascii="Times New Roman" w:hAnsi="Times New Roman" w:eastAsia="方正仿宋简体" w:cs="Times New Roman"/>
                <w:b w:val="0"/>
                <w:bCs w:val="0"/>
                <w:color w:val="auto"/>
                <w:spacing w:val="0"/>
                <w:kern w:val="2"/>
                <w:sz w:val="20"/>
                <w:szCs w:val="20"/>
                <w:u w:val="none"/>
                <w:lang w:val="en-US" w:eastAsia="zh-CN" w:bidi="ar-SA"/>
              </w:rPr>
              <w:t>十</w:t>
            </w:r>
            <w:r>
              <w:rPr>
                <w:rFonts w:hint="eastAsia" w:ascii="Times New Roman" w:hAnsi="Times New Roman" w:eastAsia="方正仿宋简体" w:cs="Times New Roman"/>
                <w:b w:val="0"/>
                <w:bCs w:val="0"/>
                <w:color w:val="auto"/>
                <w:spacing w:val="0"/>
                <w:kern w:val="2"/>
                <w:sz w:val="20"/>
                <w:szCs w:val="20"/>
                <w:u w:val="none"/>
                <w:lang w:val="en-US" w:eastAsia="zh-CN" w:bidi="ar-SA"/>
              </w:rPr>
              <w:t>三</w:t>
            </w:r>
            <w:r>
              <w:rPr>
                <w:rFonts w:hint="default" w:ascii="Times New Roman" w:hAnsi="Times New Roman" w:eastAsia="方正仿宋简体" w:cs="Times New Roman"/>
                <w:b w:val="0"/>
                <w:bCs w:val="0"/>
                <w:color w:val="auto"/>
                <w:spacing w:val="0"/>
                <w:kern w:val="2"/>
                <w:sz w:val="20"/>
                <w:szCs w:val="20"/>
                <w:u w:val="none"/>
                <w:lang w:val="en-US" w:eastAsia="zh-CN" w:bidi="ar-SA"/>
              </w:rPr>
              <w:t xml:space="preserve">条 </w:t>
            </w:r>
            <w:r>
              <w:rPr>
                <w:rFonts w:hint="eastAsia" w:ascii="Times New Roman" w:hAnsi="Times New Roman" w:eastAsia="方正仿宋简体" w:cs="Times New Roman"/>
                <w:b w:val="0"/>
                <w:bCs w:val="0"/>
                <w:color w:val="auto"/>
                <w:spacing w:val="0"/>
                <w:kern w:val="2"/>
                <w:sz w:val="20"/>
                <w:szCs w:val="20"/>
                <w:u w:val="none"/>
                <w:lang w:val="en-US" w:eastAsia="zh-CN" w:bidi="ar-SA"/>
              </w:rPr>
              <w:t>对自主就业的退役军士和义务兵，地方人民政府可以根据当地实际情况给予一次性经济补助，补助标准及发放办法由省、自治区、直辖市人民政府制定。</w:t>
            </w:r>
          </w:p>
          <w:p w14:paraId="335B5EE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2.</w:t>
            </w: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关于进一步加强由政府安排工作退役士兵就业安置工作的意见</w:t>
            </w:r>
            <w:r>
              <w:rPr>
                <w:rFonts w:hint="default" w:ascii="Times New Roman" w:hAnsi="Times New Roman" w:eastAsia="方正仿宋简体" w:cs="Times New Roman"/>
                <w:b w:val="0"/>
                <w:bCs w:val="0"/>
                <w:color w:val="auto"/>
                <w:spacing w:val="0"/>
                <w:kern w:val="2"/>
                <w:sz w:val="20"/>
                <w:szCs w:val="20"/>
                <w:u w:val="none"/>
                <w:lang w:val="en-US" w:eastAsia="zh-CN" w:bidi="ar-SA"/>
              </w:rPr>
              <w:t>》第</w:t>
            </w:r>
            <w:r>
              <w:rPr>
                <w:rFonts w:hint="eastAsia" w:ascii="Times New Roman" w:hAnsi="Times New Roman" w:eastAsia="方正仿宋简体" w:cs="Times New Roman"/>
                <w:b w:val="0"/>
                <w:bCs w:val="0"/>
                <w:color w:val="auto"/>
                <w:spacing w:val="0"/>
                <w:kern w:val="2"/>
                <w:sz w:val="20"/>
                <w:szCs w:val="20"/>
                <w:u w:val="none"/>
                <w:lang w:val="en-US" w:eastAsia="zh-CN" w:bidi="ar-SA"/>
              </w:rPr>
              <w:t>二</w:t>
            </w:r>
            <w:r>
              <w:rPr>
                <w:rFonts w:hint="default" w:ascii="Times New Roman" w:hAnsi="Times New Roman" w:eastAsia="方正仿宋简体" w:cs="Times New Roman"/>
                <w:b w:val="0"/>
                <w:bCs w:val="0"/>
                <w:color w:val="auto"/>
                <w:spacing w:val="0"/>
                <w:kern w:val="2"/>
                <w:sz w:val="20"/>
                <w:szCs w:val="20"/>
                <w:u w:val="none"/>
                <w:lang w:val="en-US" w:eastAsia="zh-CN" w:bidi="ar-SA"/>
              </w:rPr>
              <w:t>条</w:t>
            </w:r>
            <w:r>
              <w:rPr>
                <w:rFonts w:hint="eastAsia" w:ascii="Times New Roman" w:hAnsi="Times New Roman" w:eastAsia="方正仿宋简体" w:cs="Times New Roman"/>
                <w:b w:val="0"/>
                <w:bCs w:val="0"/>
                <w:color w:val="auto"/>
                <w:spacing w:val="0"/>
                <w:kern w:val="2"/>
                <w:sz w:val="20"/>
                <w:szCs w:val="20"/>
                <w:u w:val="none"/>
                <w:lang w:val="en-US" w:eastAsia="zh-CN" w:bidi="ar-SA"/>
              </w:rPr>
              <w:t>第二款：3.允许灵活就业。选择由政府安排工作的退役士兵回到地方后又放弃安排工作待遇的，经本人申请确认后，由安置地人民政府按照其在部队选择自主就业应领取的一次性退役金和地方一次性经济补助金之和的80％，发给一次性就业补助金，同时按规定享受扶持退役军人就业创业的各项优惠政策。</w:t>
            </w:r>
          </w:p>
          <w:p w14:paraId="0DA451D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w:t>
            </w:r>
            <w:r>
              <w:rPr>
                <w:rFonts w:hint="eastAsia" w:ascii="Times New Roman" w:hAnsi="Times New Roman" w:eastAsia="方正仿宋简体" w:cs="Times New Roman"/>
                <w:b w:val="0"/>
                <w:bCs w:val="0"/>
                <w:color w:val="auto"/>
                <w:spacing w:val="0"/>
                <w:kern w:val="2"/>
                <w:sz w:val="20"/>
                <w:szCs w:val="20"/>
                <w:u w:val="none"/>
                <w:lang w:val="en-US" w:eastAsia="zh-CN" w:bidi="ar-SA"/>
              </w:rPr>
              <w:t>西藏自治区〈退役士兵安置条例〉实施细则</w:t>
            </w: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第二十三条 两年义务兵退出现役后自主就业的给予一次性经济补助金50000元，自主就业退出现役士官每超期服役一年增加10000元，最高服役满11年的士兵可领取一次性经济补助金14万元。义务兵家属优待金和自主就业一次性经济补助由各级人民政府承担并纳入同级财政年度预算。</w:t>
            </w:r>
          </w:p>
          <w:p w14:paraId="4E4CAE7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841" w:type="dxa"/>
            <w:vAlign w:val="center"/>
          </w:tcPr>
          <w:p w14:paraId="2A932FA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西藏籍选择自主就业的退役军士和义务兵</w:t>
            </w:r>
          </w:p>
        </w:tc>
        <w:tc>
          <w:tcPr>
            <w:tcW w:w="2332" w:type="dxa"/>
            <w:vAlign w:val="center"/>
          </w:tcPr>
          <w:p w14:paraId="6A74781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选择自主就业的退役军士和义务兵结合参军服务情况向所在层级</w:t>
            </w:r>
            <w:r>
              <w:rPr>
                <w:rFonts w:hint="default" w:ascii="Times New Roman" w:hAnsi="Times New Roman" w:eastAsia="方正仿宋简体" w:cs="Times New Roman"/>
                <w:b w:val="0"/>
                <w:bCs w:val="0"/>
                <w:color w:val="auto"/>
                <w:spacing w:val="0"/>
                <w:kern w:val="2"/>
                <w:sz w:val="20"/>
                <w:szCs w:val="20"/>
                <w:u w:val="none"/>
                <w:lang w:val="en-US" w:eastAsia="zh-CN" w:bidi="ar-SA"/>
              </w:rPr>
              <w:t>人民政府</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提出申请；</w:t>
            </w:r>
          </w:p>
          <w:p w14:paraId="29BC2D3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退役军人工作主管部门根据其档案材料和个人申请进行</w:t>
            </w:r>
            <w:r>
              <w:rPr>
                <w:rFonts w:hint="default" w:ascii="Times New Roman" w:hAnsi="Times New Roman" w:eastAsia="方正仿宋简体" w:cs="Times New Roman"/>
                <w:b w:val="0"/>
                <w:bCs w:val="0"/>
                <w:color w:val="auto"/>
                <w:spacing w:val="0"/>
                <w:kern w:val="2"/>
                <w:sz w:val="20"/>
                <w:szCs w:val="20"/>
                <w:u w:val="none"/>
                <w:lang w:val="en-US" w:eastAsia="zh-CN" w:bidi="ar-SA"/>
              </w:rPr>
              <w:t>审核；</w:t>
            </w:r>
          </w:p>
          <w:p w14:paraId="1D8CA80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w:t>
            </w:r>
            <w:r>
              <w:rPr>
                <w:rFonts w:hint="eastAsia" w:ascii="Times New Roman" w:hAnsi="Times New Roman" w:eastAsia="方正仿宋简体" w:cs="Times New Roman"/>
                <w:b w:val="0"/>
                <w:bCs w:val="0"/>
                <w:color w:val="auto"/>
                <w:spacing w:val="0"/>
                <w:kern w:val="2"/>
                <w:sz w:val="20"/>
                <w:szCs w:val="20"/>
                <w:u w:val="none"/>
                <w:lang w:val="en-US" w:eastAsia="zh-CN" w:bidi="ar-SA"/>
              </w:rPr>
              <w:t>同</w:t>
            </w:r>
            <w:r>
              <w:rPr>
                <w:rFonts w:hint="default" w:ascii="Times New Roman" w:hAnsi="Times New Roman" w:eastAsia="方正仿宋简体" w:cs="Times New Roman"/>
                <w:b w:val="0"/>
                <w:bCs w:val="0"/>
                <w:color w:val="auto"/>
                <w:spacing w:val="0"/>
                <w:kern w:val="2"/>
                <w:sz w:val="20"/>
                <w:szCs w:val="20"/>
                <w:u w:val="none"/>
                <w:lang w:val="en-US" w:eastAsia="zh-CN" w:bidi="ar-SA"/>
              </w:rPr>
              <w:t>级财政部门审核、拨付资金；</w:t>
            </w:r>
          </w:p>
          <w:p w14:paraId="707C005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4.代发金融机构将资金发放到</w:t>
            </w:r>
            <w:r>
              <w:rPr>
                <w:rFonts w:hint="eastAsia" w:ascii="Times New Roman" w:hAnsi="Times New Roman" w:eastAsia="方正仿宋简体" w:cs="Times New Roman"/>
                <w:b w:val="0"/>
                <w:bCs w:val="0"/>
                <w:color w:val="auto"/>
                <w:spacing w:val="0"/>
                <w:kern w:val="2"/>
                <w:sz w:val="20"/>
                <w:szCs w:val="20"/>
                <w:u w:val="none"/>
                <w:lang w:val="en-US" w:eastAsia="zh-CN" w:bidi="ar-SA"/>
              </w:rPr>
              <w:t>选择自主就业的退役军士和义务兵</w:t>
            </w:r>
            <w:r>
              <w:rPr>
                <w:rFonts w:hint="default" w:ascii="Times New Roman" w:hAnsi="Times New Roman" w:eastAsia="方正仿宋简体" w:cs="Times New Roman"/>
                <w:b w:val="0"/>
                <w:bCs w:val="0"/>
                <w:color w:val="auto"/>
                <w:spacing w:val="0"/>
                <w:kern w:val="2"/>
                <w:sz w:val="20"/>
                <w:szCs w:val="20"/>
                <w:u w:val="none"/>
                <w:lang w:val="en-US" w:eastAsia="zh-CN" w:bidi="ar-SA"/>
              </w:rPr>
              <w:t>个人指定账户。</w:t>
            </w:r>
          </w:p>
          <w:p w14:paraId="52EBE56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81" w:type="dxa"/>
            <w:vAlign w:val="center"/>
          </w:tcPr>
          <w:p w14:paraId="083DDC3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同</w:t>
            </w:r>
            <w:r>
              <w:rPr>
                <w:rFonts w:hint="default" w:ascii="Times New Roman" w:hAnsi="Times New Roman" w:eastAsia="方正仿宋简体" w:cs="Times New Roman"/>
                <w:b w:val="0"/>
                <w:bCs w:val="0"/>
                <w:color w:val="auto"/>
                <w:spacing w:val="0"/>
                <w:kern w:val="2"/>
                <w:sz w:val="20"/>
                <w:szCs w:val="20"/>
                <w:u w:val="none"/>
                <w:lang w:val="en-US" w:eastAsia="zh-CN" w:bidi="ar-SA"/>
              </w:rPr>
              <w:t>级财政部门审核、拨付资金之日起60个工作日内发放。</w:t>
            </w:r>
          </w:p>
        </w:tc>
        <w:tc>
          <w:tcPr>
            <w:tcW w:w="1596" w:type="dxa"/>
            <w:vAlign w:val="center"/>
          </w:tcPr>
          <w:p w14:paraId="3B583AF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入伍证明材料</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658670C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w:t>
            </w:r>
            <w:r>
              <w:rPr>
                <w:rFonts w:hint="eastAsia" w:ascii="Times New Roman" w:hAnsi="Times New Roman" w:eastAsia="方正仿宋简体" w:cs="Times New Roman"/>
                <w:b w:val="0"/>
                <w:bCs w:val="0"/>
                <w:color w:val="auto"/>
                <w:spacing w:val="0"/>
                <w:kern w:val="2"/>
                <w:sz w:val="20"/>
                <w:szCs w:val="20"/>
                <w:u w:val="none"/>
                <w:lang w:val="en-US" w:eastAsia="zh-CN" w:bidi="ar-SA"/>
              </w:rPr>
              <w:t>退役相关材料</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0465376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w:t>
            </w:r>
            <w:r>
              <w:rPr>
                <w:rFonts w:hint="eastAsia" w:ascii="Times New Roman" w:hAnsi="Times New Roman" w:eastAsia="方正仿宋简体" w:cs="Times New Roman"/>
                <w:b w:val="0"/>
                <w:bCs w:val="0"/>
                <w:color w:val="auto"/>
                <w:spacing w:val="0"/>
                <w:kern w:val="2"/>
                <w:sz w:val="20"/>
                <w:szCs w:val="20"/>
                <w:u w:val="none"/>
                <w:lang w:val="en-US" w:eastAsia="zh-CN" w:bidi="ar-SA"/>
              </w:rPr>
              <w:t>经申请人确认的</w:t>
            </w:r>
            <w:r>
              <w:rPr>
                <w:rFonts w:hint="default" w:ascii="Times New Roman" w:hAnsi="Times New Roman" w:eastAsia="方正仿宋简体" w:cs="Times New Roman"/>
                <w:b w:val="0"/>
                <w:bCs w:val="0"/>
                <w:color w:val="auto"/>
                <w:spacing w:val="0"/>
                <w:kern w:val="2"/>
                <w:sz w:val="20"/>
                <w:szCs w:val="20"/>
                <w:u w:val="none"/>
                <w:lang w:val="en-US" w:eastAsia="zh-CN" w:bidi="ar-SA"/>
              </w:rPr>
              <w:t>银行卡</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存折账户</w:t>
            </w:r>
            <w:r>
              <w:rPr>
                <w:rFonts w:hint="eastAsia" w:ascii="Times New Roman" w:hAnsi="Times New Roman" w:eastAsia="方正仿宋简体" w:cs="Times New Roman"/>
                <w:b w:val="0"/>
                <w:bCs w:val="0"/>
                <w:color w:val="auto"/>
                <w:spacing w:val="0"/>
                <w:kern w:val="2"/>
                <w:sz w:val="20"/>
                <w:szCs w:val="20"/>
                <w:u w:val="none"/>
                <w:lang w:val="en-US" w:eastAsia="zh-CN" w:bidi="ar-SA"/>
              </w:rPr>
              <w:t>等合法银行账户</w:t>
            </w:r>
            <w:r>
              <w:rPr>
                <w:rFonts w:hint="default" w:ascii="Times New Roman" w:hAnsi="Times New Roman" w:eastAsia="方正仿宋简体" w:cs="Times New Roman"/>
                <w:b w:val="0"/>
                <w:bCs w:val="0"/>
                <w:color w:val="auto"/>
                <w:spacing w:val="0"/>
                <w:kern w:val="2"/>
                <w:sz w:val="20"/>
                <w:szCs w:val="20"/>
                <w:u w:val="none"/>
                <w:lang w:val="en-US" w:eastAsia="zh-CN" w:bidi="ar-SA"/>
              </w:rPr>
              <w:t>信息。</w:t>
            </w:r>
          </w:p>
          <w:p w14:paraId="5B48287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r>
      <w:tr w14:paraId="63BC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70155F1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14</w:t>
            </w:r>
          </w:p>
        </w:tc>
        <w:tc>
          <w:tcPr>
            <w:tcW w:w="791" w:type="dxa"/>
            <w:vAlign w:val="center"/>
          </w:tcPr>
          <w:p w14:paraId="2466D92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退役军士和义务兵待安排工作期间生活补助费的发放</w:t>
            </w:r>
          </w:p>
        </w:tc>
        <w:tc>
          <w:tcPr>
            <w:tcW w:w="709" w:type="dxa"/>
            <w:vAlign w:val="center"/>
          </w:tcPr>
          <w:p w14:paraId="17B78D6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行政给付</w:t>
            </w:r>
          </w:p>
        </w:tc>
        <w:tc>
          <w:tcPr>
            <w:tcW w:w="4446" w:type="dxa"/>
            <w:vAlign w:val="center"/>
          </w:tcPr>
          <w:p w14:paraId="03C3B23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中华人民共和国兵役法</w:t>
            </w:r>
            <w:r>
              <w:rPr>
                <w:rFonts w:hint="default" w:ascii="Times New Roman" w:hAnsi="Times New Roman" w:eastAsia="方正仿宋简体" w:cs="Times New Roman"/>
                <w:b w:val="0"/>
                <w:bCs w:val="0"/>
                <w:color w:val="auto"/>
                <w:spacing w:val="0"/>
                <w:kern w:val="2"/>
                <w:sz w:val="20"/>
                <w:szCs w:val="20"/>
                <w:u w:val="none"/>
                <w:lang w:val="en-US" w:eastAsia="zh-CN" w:bidi="ar-SA"/>
              </w:rPr>
              <w:t>》第</w:t>
            </w:r>
            <w:r>
              <w:rPr>
                <w:rFonts w:hint="eastAsia" w:ascii="Times New Roman" w:hAnsi="Times New Roman" w:eastAsia="方正仿宋简体" w:cs="Times New Roman"/>
                <w:b w:val="0"/>
                <w:bCs w:val="0"/>
                <w:color w:val="auto"/>
                <w:spacing w:val="0"/>
                <w:kern w:val="2"/>
                <w:sz w:val="20"/>
                <w:szCs w:val="20"/>
                <w:u w:val="none"/>
                <w:lang w:val="en-US" w:eastAsia="zh-CN" w:bidi="ar-SA"/>
              </w:rPr>
              <w:t>五</w:t>
            </w:r>
            <w:r>
              <w:rPr>
                <w:rFonts w:hint="default" w:ascii="Times New Roman" w:hAnsi="Times New Roman" w:eastAsia="方正仿宋简体" w:cs="Times New Roman"/>
                <w:b w:val="0"/>
                <w:bCs w:val="0"/>
                <w:color w:val="auto"/>
                <w:spacing w:val="0"/>
                <w:kern w:val="2"/>
                <w:sz w:val="20"/>
                <w:szCs w:val="20"/>
                <w:u w:val="none"/>
                <w:lang w:val="en-US" w:eastAsia="zh-CN" w:bidi="ar-SA"/>
              </w:rPr>
              <w:t>十</w:t>
            </w:r>
            <w:r>
              <w:rPr>
                <w:rFonts w:hint="eastAsia" w:ascii="Times New Roman" w:hAnsi="Times New Roman" w:eastAsia="方正仿宋简体" w:cs="Times New Roman"/>
                <w:b w:val="0"/>
                <w:bCs w:val="0"/>
                <w:color w:val="auto"/>
                <w:spacing w:val="0"/>
                <w:kern w:val="2"/>
                <w:sz w:val="20"/>
                <w:szCs w:val="20"/>
                <w:u w:val="none"/>
                <w:lang w:val="en-US" w:eastAsia="zh-CN" w:bidi="ar-SA"/>
              </w:rPr>
              <w:t>三</w:t>
            </w:r>
            <w:r>
              <w:rPr>
                <w:rFonts w:hint="default" w:ascii="Times New Roman" w:hAnsi="Times New Roman" w:eastAsia="方正仿宋简体" w:cs="Times New Roman"/>
                <w:b w:val="0"/>
                <w:bCs w:val="0"/>
                <w:color w:val="auto"/>
                <w:spacing w:val="0"/>
                <w:kern w:val="2"/>
                <w:sz w:val="20"/>
                <w:szCs w:val="20"/>
                <w:u w:val="none"/>
                <w:lang w:val="en-US" w:eastAsia="zh-CN" w:bidi="ar-SA"/>
              </w:rPr>
              <w:t>条</w:t>
            </w:r>
            <w:r>
              <w:rPr>
                <w:rFonts w:hint="eastAsia" w:ascii="Times New Roman" w:hAnsi="Times New Roman" w:eastAsia="方正仿宋简体" w:cs="Times New Roman"/>
                <w:b w:val="0"/>
                <w:bCs w:val="0"/>
                <w:color w:val="auto"/>
                <w:spacing w:val="0"/>
                <w:kern w:val="2"/>
                <w:sz w:val="20"/>
                <w:szCs w:val="20"/>
                <w:u w:val="none"/>
                <w:lang w:val="en-US" w:eastAsia="zh-CN" w:bidi="ar-SA"/>
              </w:rPr>
              <w:t>第三款</w:t>
            </w:r>
            <w:r>
              <w:rPr>
                <w:rFonts w:hint="default" w:ascii="Times New Roman" w:hAnsi="Times New Roman" w:eastAsia="方正仿宋简体" w:cs="Times New Roman"/>
                <w:b w:val="0"/>
                <w:bCs w:val="0"/>
                <w:color w:val="auto"/>
                <w:spacing w:val="0"/>
                <w:kern w:val="2"/>
                <w:sz w:val="20"/>
                <w:szCs w:val="20"/>
                <w:u w:val="none"/>
                <w:lang w:val="en-US" w:eastAsia="zh-CN" w:bidi="ar-SA"/>
              </w:rPr>
              <w:t xml:space="preserve"> </w:t>
            </w:r>
            <w:r>
              <w:rPr>
                <w:rFonts w:hint="eastAsia" w:ascii="Times New Roman" w:hAnsi="Times New Roman" w:eastAsia="方正仿宋简体" w:cs="Times New Roman"/>
                <w:b w:val="0"/>
                <w:bCs w:val="0"/>
                <w:color w:val="auto"/>
                <w:spacing w:val="0"/>
                <w:kern w:val="2"/>
                <w:sz w:val="20"/>
                <w:szCs w:val="20"/>
                <w:u w:val="none"/>
                <w:lang w:val="en-US" w:eastAsia="zh-CN" w:bidi="ar-SA"/>
              </w:rPr>
              <w:t>服现役期间平时获得二等功以上荣誉或者战时获得三等功以上荣誉以及属于烈士子女的义务兵退出现役，由安置地的县级以上地方人民政府安排工作；待安排工作期间由当地人民政府按照国家有关规定发给生活补助费；根据本人自愿，也可以选择自主就业。</w:t>
            </w:r>
          </w:p>
          <w:p w14:paraId="76F768A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第五十四条第三款 军士退出现役，服现役满十二年或者符合国家规定的其他条件的，由安置地的县级以上地方人民政府安排工作；待安排工作期间由当地人民政府按照国家有关规定发给生活补助费；根据本人自愿，也可以选择自主就业。</w:t>
            </w:r>
          </w:p>
          <w:p w14:paraId="5806113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2.《退役军人安置条例》第七十五条</w:t>
            </w:r>
            <w:r>
              <w:rPr>
                <w:rFonts w:hint="eastAsia" w:ascii="Times New Roman" w:hAnsi="Times New Roman" w:eastAsia="方正仿宋简体" w:cs="Times New Roman"/>
                <w:b w:val="0"/>
                <w:bCs w:val="0"/>
                <w:color w:val="auto"/>
                <w:spacing w:val="0"/>
                <w:kern w:val="2"/>
                <w:sz w:val="20"/>
                <w:szCs w:val="20"/>
                <w:u w:val="none"/>
                <w:lang w:val="en" w:eastAsia="zh-CN" w:bidi="ar-SA"/>
              </w:rPr>
              <w:t xml:space="preserve"> </w:t>
            </w:r>
            <w:r>
              <w:rPr>
                <w:rFonts w:hint="eastAsia" w:ascii="Times New Roman" w:hAnsi="Times New Roman" w:eastAsia="方正仿宋简体" w:cs="Times New Roman"/>
                <w:b w:val="0"/>
                <w:bCs w:val="0"/>
                <w:color w:val="auto"/>
                <w:spacing w:val="0"/>
                <w:kern w:val="2"/>
                <w:sz w:val="20"/>
                <w:szCs w:val="20"/>
                <w:u w:val="none"/>
                <w:lang w:val="en-US" w:eastAsia="zh-CN" w:bidi="ar-SA"/>
              </w:rPr>
              <w:t>安排工作的退役军士和义务兵待安排工作期间，安置地人民政府应当按照当地月最低工资标准逐月发放生活补助。</w:t>
            </w:r>
          </w:p>
          <w:p w14:paraId="151D44E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接收安置单位应当在安排工作介绍信开具30日内，安排退役军士和义务兵上岗。非因退役军士和义务兵本人原因，接收安置单位未按照规定安排上岗的，应当从介绍信开具当月起，按照不低于本单位同等条件人员平均工资80%的标准，逐月发放生活费直至上岗为止。</w:t>
            </w:r>
          </w:p>
          <w:p w14:paraId="68C86C8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3.</w:t>
            </w: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关于进一步加强由政府安排工作退役士兵就业安置工作的意见</w:t>
            </w:r>
            <w:r>
              <w:rPr>
                <w:rFonts w:hint="default" w:ascii="Times New Roman" w:hAnsi="Times New Roman" w:eastAsia="方正仿宋简体" w:cs="Times New Roman"/>
                <w:b w:val="0"/>
                <w:bCs w:val="0"/>
                <w:color w:val="auto"/>
                <w:spacing w:val="0"/>
                <w:kern w:val="2"/>
                <w:sz w:val="20"/>
                <w:szCs w:val="20"/>
                <w:u w:val="none"/>
                <w:lang w:val="en-US" w:eastAsia="zh-CN" w:bidi="ar-SA"/>
              </w:rPr>
              <w:t>》第</w:t>
            </w:r>
            <w:r>
              <w:rPr>
                <w:rFonts w:hint="eastAsia" w:ascii="Times New Roman" w:hAnsi="Times New Roman" w:eastAsia="方正仿宋简体" w:cs="Times New Roman"/>
                <w:b w:val="0"/>
                <w:bCs w:val="0"/>
                <w:color w:val="auto"/>
                <w:spacing w:val="0"/>
                <w:kern w:val="2"/>
                <w:sz w:val="20"/>
                <w:szCs w:val="20"/>
                <w:u w:val="none"/>
                <w:lang w:val="en-US" w:eastAsia="zh-CN" w:bidi="ar-SA"/>
              </w:rPr>
              <w:t>三</w:t>
            </w:r>
            <w:r>
              <w:rPr>
                <w:rFonts w:hint="default" w:ascii="Times New Roman" w:hAnsi="Times New Roman" w:eastAsia="方正仿宋简体" w:cs="Times New Roman"/>
                <w:b w:val="0"/>
                <w:bCs w:val="0"/>
                <w:color w:val="auto"/>
                <w:spacing w:val="0"/>
                <w:kern w:val="2"/>
                <w:sz w:val="20"/>
                <w:szCs w:val="20"/>
                <w:u w:val="none"/>
                <w:lang w:val="en-US" w:eastAsia="zh-CN" w:bidi="ar-SA"/>
              </w:rPr>
              <w:t>条</w:t>
            </w:r>
            <w:r>
              <w:rPr>
                <w:rFonts w:hint="eastAsia" w:ascii="Times New Roman" w:hAnsi="Times New Roman" w:eastAsia="方正仿宋简体" w:cs="Times New Roman"/>
                <w:b w:val="0"/>
                <w:bCs w:val="0"/>
                <w:color w:val="auto"/>
                <w:spacing w:val="0"/>
                <w:kern w:val="2"/>
                <w:sz w:val="20"/>
                <w:szCs w:val="20"/>
                <w:u w:val="none"/>
                <w:lang w:val="en-US" w:eastAsia="zh-CN" w:bidi="ar-SA"/>
              </w:rPr>
              <w:t>第三款：退役士兵待安排工作期间，安置地人民政府应当按照上年度最低工资标准逐月发放生活补助。</w:t>
            </w:r>
          </w:p>
        </w:tc>
        <w:tc>
          <w:tcPr>
            <w:tcW w:w="1841" w:type="dxa"/>
            <w:vAlign w:val="center"/>
          </w:tcPr>
          <w:p w14:paraId="67760EF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72CCC37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西藏籍选择安排工作的退役军士和义务兵</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136C2C6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2332" w:type="dxa"/>
            <w:vAlign w:val="center"/>
          </w:tcPr>
          <w:p w14:paraId="0C2F4A4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6ED1F34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退役军人工作主管部门根据其退役档案材料和个人安排工作情况进行</w:t>
            </w:r>
            <w:r>
              <w:rPr>
                <w:rFonts w:hint="default" w:ascii="Times New Roman" w:hAnsi="Times New Roman" w:eastAsia="方正仿宋简体" w:cs="Times New Roman"/>
                <w:b w:val="0"/>
                <w:bCs w:val="0"/>
                <w:color w:val="auto"/>
                <w:spacing w:val="0"/>
                <w:kern w:val="2"/>
                <w:sz w:val="20"/>
                <w:szCs w:val="20"/>
                <w:u w:val="none"/>
                <w:lang w:val="en-US" w:eastAsia="zh-CN" w:bidi="ar-SA"/>
              </w:rPr>
              <w:t>审核；</w:t>
            </w:r>
          </w:p>
          <w:p w14:paraId="4FD8230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2</w:t>
            </w: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同级</w:t>
            </w:r>
            <w:r>
              <w:rPr>
                <w:rFonts w:hint="default" w:ascii="Times New Roman" w:hAnsi="Times New Roman" w:eastAsia="方正仿宋简体" w:cs="Times New Roman"/>
                <w:b w:val="0"/>
                <w:bCs w:val="0"/>
                <w:color w:val="auto"/>
                <w:spacing w:val="0"/>
                <w:kern w:val="2"/>
                <w:sz w:val="20"/>
                <w:szCs w:val="20"/>
                <w:u w:val="none"/>
                <w:lang w:val="en-US" w:eastAsia="zh-CN" w:bidi="ar-SA"/>
              </w:rPr>
              <w:t>财政部门审核、拨付资金；</w:t>
            </w:r>
          </w:p>
          <w:p w14:paraId="35185C6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3</w:t>
            </w:r>
            <w:r>
              <w:rPr>
                <w:rFonts w:hint="default" w:ascii="Times New Roman" w:hAnsi="Times New Roman" w:eastAsia="方正仿宋简体" w:cs="Times New Roman"/>
                <w:b w:val="0"/>
                <w:bCs w:val="0"/>
                <w:color w:val="auto"/>
                <w:spacing w:val="0"/>
                <w:kern w:val="2"/>
                <w:sz w:val="20"/>
                <w:szCs w:val="20"/>
                <w:u w:val="none"/>
                <w:lang w:val="en-US" w:eastAsia="zh-CN" w:bidi="ar-SA"/>
              </w:rPr>
              <w:t>.代发金融机构将资金发放到</w:t>
            </w:r>
            <w:r>
              <w:rPr>
                <w:rFonts w:hint="eastAsia" w:ascii="Times New Roman" w:hAnsi="Times New Roman" w:eastAsia="方正仿宋简体" w:cs="Times New Roman"/>
                <w:b w:val="0"/>
                <w:bCs w:val="0"/>
                <w:color w:val="auto"/>
                <w:spacing w:val="0"/>
                <w:kern w:val="2"/>
                <w:sz w:val="20"/>
                <w:szCs w:val="20"/>
                <w:u w:val="none"/>
                <w:lang w:val="en-US" w:eastAsia="zh-CN" w:bidi="ar-SA"/>
              </w:rPr>
              <w:t>选择安排工作的退役军士和义务兵</w:t>
            </w:r>
            <w:r>
              <w:rPr>
                <w:rFonts w:hint="default" w:ascii="Times New Roman" w:hAnsi="Times New Roman" w:eastAsia="方正仿宋简体" w:cs="Times New Roman"/>
                <w:b w:val="0"/>
                <w:bCs w:val="0"/>
                <w:color w:val="auto"/>
                <w:spacing w:val="0"/>
                <w:kern w:val="2"/>
                <w:sz w:val="20"/>
                <w:szCs w:val="20"/>
                <w:u w:val="none"/>
                <w:lang w:val="en-US" w:eastAsia="zh-CN" w:bidi="ar-SA"/>
              </w:rPr>
              <w:t>个人指定账户。</w:t>
            </w:r>
          </w:p>
          <w:p w14:paraId="5507608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81" w:type="dxa"/>
            <w:vAlign w:val="center"/>
          </w:tcPr>
          <w:p w14:paraId="3E6E251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同级财政部门审核、拨付资金自日</w:t>
            </w:r>
            <w:r>
              <w:rPr>
                <w:rFonts w:hint="default" w:ascii="Times New Roman" w:hAnsi="Times New Roman" w:eastAsia="方正仿宋简体" w:cs="Times New Roman"/>
                <w:b w:val="0"/>
                <w:bCs w:val="0"/>
                <w:color w:val="auto"/>
                <w:spacing w:val="0"/>
                <w:kern w:val="2"/>
                <w:sz w:val="20"/>
                <w:szCs w:val="20"/>
                <w:u w:val="none"/>
                <w:lang w:val="en-US" w:eastAsia="zh-CN" w:bidi="ar-SA"/>
              </w:rPr>
              <w:t>起60个工作日内发放。</w:t>
            </w:r>
          </w:p>
          <w:p w14:paraId="4647D8E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96" w:type="dxa"/>
            <w:vAlign w:val="center"/>
          </w:tcPr>
          <w:p w14:paraId="2E13A07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2A63AB7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经申请人确认的</w:t>
            </w:r>
            <w:r>
              <w:rPr>
                <w:rFonts w:hint="default" w:ascii="Times New Roman" w:hAnsi="Times New Roman" w:eastAsia="方正仿宋简体" w:cs="Times New Roman"/>
                <w:b w:val="0"/>
                <w:bCs w:val="0"/>
                <w:color w:val="auto"/>
                <w:spacing w:val="0"/>
                <w:kern w:val="2"/>
                <w:sz w:val="20"/>
                <w:szCs w:val="20"/>
                <w:u w:val="none"/>
                <w:lang w:val="en-US" w:eastAsia="zh-CN" w:bidi="ar-SA"/>
              </w:rPr>
              <w:t>银行卡</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存折账户</w:t>
            </w:r>
            <w:r>
              <w:rPr>
                <w:rFonts w:hint="eastAsia" w:ascii="Times New Roman" w:hAnsi="Times New Roman" w:eastAsia="方正仿宋简体" w:cs="Times New Roman"/>
                <w:b w:val="0"/>
                <w:bCs w:val="0"/>
                <w:color w:val="auto"/>
                <w:spacing w:val="0"/>
                <w:kern w:val="2"/>
                <w:sz w:val="20"/>
                <w:szCs w:val="20"/>
                <w:u w:val="none"/>
                <w:lang w:val="en-US" w:eastAsia="zh-CN" w:bidi="ar-SA"/>
              </w:rPr>
              <w:t>等合法银行账户</w:t>
            </w:r>
            <w:r>
              <w:rPr>
                <w:rFonts w:hint="default" w:ascii="Times New Roman" w:hAnsi="Times New Roman" w:eastAsia="方正仿宋简体" w:cs="Times New Roman"/>
                <w:b w:val="0"/>
                <w:bCs w:val="0"/>
                <w:color w:val="auto"/>
                <w:spacing w:val="0"/>
                <w:kern w:val="2"/>
                <w:sz w:val="20"/>
                <w:szCs w:val="20"/>
                <w:u w:val="none"/>
                <w:lang w:val="en-US" w:eastAsia="zh-CN" w:bidi="ar-SA"/>
              </w:rPr>
              <w:t>信息。</w:t>
            </w:r>
          </w:p>
          <w:p w14:paraId="1C4214D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r>
      <w:tr w14:paraId="487A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7" w:hRule="atLeast"/>
        </w:trPr>
        <w:tc>
          <w:tcPr>
            <w:tcW w:w="668" w:type="dxa"/>
            <w:vAlign w:val="center"/>
          </w:tcPr>
          <w:p w14:paraId="57EF502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15</w:t>
            </w:r>
          </w:p>
        </w:tc>
        <w:tc>
          <w:tcPr>
            <w:tcW w:w="791" w:type="dxa"/>
            <w:vAlign w:val="center"/>
          </w:tcPr>
          <w:p w14:paraId="25CC110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中国人民武装警察部队、军队离休、退休干部和退休士官抚恤优待的给付</w:t>
            </w:r>
          </w:p>
        </w:tc>
        <w:tc>
          <w:tcPr>
            <w:tcW w:w="709" w:type="dxa"/>
            <w:vAlign w:val="center"/>
          </w:tcPr>
          <w:p w14:paraId="0EE7741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行政给付</w:t>
            </w:r>
          </w:p>
        </w:tc>
        <w:tc>
          <w:tcPr>
            <w:tcW w:w="4446" w:type="dxa"/>
            <w:vAlign w:val="center"/>
          </w:tcPr>
          <w:p w14:paraId="4599EC8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中华人民共和国军人地位和权益保障法</w:t>
            </w:r>
            <w:r>
              <w:rPr>
                <w:rFonts w:hint="default" w:ascii="Times New Roman" w:hAnsi="Times New Roman" w:eastAsia="方正仿宋简体" w:cs="Times New Roman"/>
                <w:b w:val="0"/>
                <w:bCs w:val="0"/>
                <w:color w:val="auto"/>
                <w:spacing w:val="0"/>
                <w:kern w:val="2"/>
                <w:sz w:val="20"/>
                <w:szCs w:val="20"/>
                <w:u w:val="none"/>
                <w:lang w:val="en-US" w:eastAsia="zh-CN" w:bidi="ar-SA"/>
              </w:rPr>
              <w:t>》第</w:t>
            </w:r>
            <w:r>
              <w:rPr>
                <w:rFonts w:hint="eastAsia" w:ascii="Times New Roman" w:hAnsi="Times New Roman" w:eastAsia="方正仿宋简体" w:cs="Times New Roman"/>
                <w:b w:val="0"/>
                <w:bCs w:val="0"/>
                <w:color w:val="auto"/>
                <w:spacing w:val="0"/>
                <w:kern w:val="2"/>
                <w:sz w:val="20"/>
                <w:szCs w:val="20"/>
                <w:u w:val="none"/>
                <w:lang w:val="en-US" w:eastAsia="zh-CN" w:bidi="ar-SA"/>
              </w:rPr>
              <w:t>六</w:t>
            </w:r>
            <w:r>
              <w:rPr>
                <w:rFonts w:hint="default" w:ascii="Times New Roman" w:hAnsi="Times New Roman" w:eastAsia="方正仿宋简体" w:cs="Times New Roman"/>
                <w:b w:val="0"/>
                <w:bCs w:val="0"/>
                <w:color w:val="auto"/>
                <w:spacing w:val="0"/>
                <w:kern w:val="2"/>
                <w:sz w:val="20"/>
                <w:szCs w:val="20"/>
                <w:u w:val="none"/>
                <w:lang w:val="en-US" w:eastAsia="zh-CN" w:bidi="ar-SA"/>
              </w:rPr>
              <w:t>十</w:t>
            </w:r>
            <w:r>
              <w:rPr>
                <w:rFonts w:hint="eastAsia" w:ascii="Times New Roman" w:hAnsi="Times New Roman" w:eastAsia="方正仿宋简体" w:cs="Times New Roman"/>
                <w:b w:val="0"/>
                <w:bCs w:val="0"/>
                <w:color w:val="auto"/>
                <w:spacing w:val="0"/>
                <w:kern w:val="2"/>
                <w:sz w:val="20"/>
                <w:szCs w:val="20"/>
                <w:u w:val="none"/>
                <w:lang w:val="en-US" w:eastAsia="zh-CN" w:bidi="ar-SA"/>
              </w:rPr>
              <w:t>九</w:t>
            </w:r>
            <w:r>
              <w:rPr>
                <w:rFonts w:hint="default" w:ascii="Times New Roman" w:hAnsi="Times New Roman" w:eastAsia="方正仿宋简体" w:cs="Times New Roman"/>
                <w:b w:val="0"/>
                <w:bCs w:val="0"/>
                <w:color w:val="auto"/>
                <w:spacing w:val="0"/>
                <w:kern w:val="2"/>
                <w:sz w:val="20"/>
                <w:szCs w:val="20"/>
                <w:u w:val="none"/>
                <w:lang w:val="en-US" w:eastAsia="zh-CN" w:bidi="ar-SA"/>
              </w:rPr>
              <w:t xml:space="preserve">条 </w:t>
            </w:r>
            <w:r>
              <w:rPr>
                <w:rFonts w:hint="eastAsia" w:ascii="Times New Roman" w:hAnsi="Times New Roman" w:eastAsia="方正仿宋简体" w:cs="Times New Roman"/>
                <w:b w:val="0"/>
                <w:bCs w:val="0"/>
                <w:color w:val="auto"/>
                <w:spacing w:val="0"/>
                <w:kern w:val="2"/>
                <w:sz w:val="20"/>
                <w:szCs w:val="20"/>
                <w:u w:val="none"/>
                <w:lang w:val="en-US" w:eastAsia="zh-CN" w:bidi="ar-SA"/>
              </w:rPr>
              <w:t>中国人民武装警察部队服现役的警官、警士和义务兵等人员，适用本法。</w:t>
            </w:r>
          </w:p>
          <w:p w14:paraId="2A25DEC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2.</w:t>
            </w: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军人抚恤优待条例</w:t>
            </w:r>
            <w:r>
              <w:rPr>
                <w:rFonts w:hint="default" w:ascii="Times New Roman" w:hAnsi="Times New Roman" w:eastAsia="方正仿宋简体" w:cs="Times New Roman"/>
                <w:b w:val="0"/>
                <w:bCs w:val="0"/>
                <w:color w:val="auto"/>
                <w:spacing w:val="0"/>
                <w:kern w:val="2"/>
                <w:sz w:val="20"/>
                <w:szCs w:val="20"/>
                <w:u w:val="none"/>
                <w:lang w:val="en-US" w:eastAsia="zh-CN" w:bidi="ar-SA"/>
              </w:rPr>
              <w:t>》第</w:t>
            </w:r>
            <w:r>
              <w:rPr>
                <w:rFonts w:hint="eastAsia" w:ascii="Times New Roman" w:hAnsi="Times New Roman" w:eastAsia="方正仿宋简体" w:cs="Times New Roman"/>
                <w:b w:val="0"/>
                <w:bCs w:val="0"/>
                <w:color w:val="auto"/>
                <w:spacing w:val="0"/>
                <w:kern w:val="2"/>
                <w:sz w:val="20"/>
                <w:szCs w:val="20"/>
                <w:u w:val="none"/>
                <w:lang w:val="en-US" w:eastAsia="zh-CN" w:bidi="ar-SA"/>
              </w:rPr>
              <w:t>六十</w:t>
            </w:r>
            <w:r>
              <w:rPr>
                <w:rFonts w:hint="default" w:ascii="Times New Roman" w:hAnsi="Times New Roman" w:eastAsia="方正仿宋简体" w:cs="Times New Roman"/>
                <w:b w:val="0"/>
                <w:bCs w:val="0"/>
                <w:color w:val="auto"/>
                <w:spacing w:val="0"/>
                <w:kern w:val="2"/>
                <w:sz w:val="20"/>
                <w:szCs w:val="20"/>
                <w:u w:val="none"/>
                <w:lang w:val="en-US" w:eastAsia="zh-CN" w:bidi="ar-SA"/>
              </w:rPr>
              <w:t>条</w:t>
            </w:r>
            <w:r>
              <w:rPr>
                <w:rFonts w:hint="eastAsia" w:ascii="Times New Roman" w:hAnsi="Times New Roman" w:eastAsia="方正仿宋简体" w:cs="Times New Roman"/>
                <w:b w:val="0"/>
                <w:bCs w:val="0"/>
                <w:color w:val="auto"/>
                <w:spacing w:val="0"/>
                <w:kern w:val="2"/>
                <w:sz w:val="20"/>
                <w:szCs w:val="20"/>
                <w:u w:val="none"/>
                <w:lang w:val="en-US" w:eastAsia="zh-CN" w:bidi="ar-SA"/>
              </w:rPr>
              <w:t xml:space="preserve"> 本条例适用于中国人民武装警察部队。</w:t>
            </w:r>
          </w:p>
          <w:p w14:paraId="1D30884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六十一条 军队离休退休干部和退休军士的抚恤优待，按照本条例有关军人抚恤优待的规定执行。参试退役军人参照本条例有关参战退役军人的规定执行。因参战以及参加非战争军事行动、军事训练和执行军事勤务伤亡的预备役人员、民兵、民工、其他人员的抚恤，参照本条例的有关规定办理。</w:t>
            </w:r>
          </w:p>
          <w:p w14:paraId="5F49260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841" w:type="dxa"/>
            <w:vAlign w:val="center"/>
          </w:tcPr>
          <w:p w14:paraId="61266BF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中国人民武装警察部队、军队离休、退休干部和退休士官</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3E51BEC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2332" w:type="dxa"/>
            <w:vAlign w:val="center"/>
          </w:tcPr>
          <w:p w14:paraId="29325E0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中国人民武装警察部队、军队离休、退休干部和退休士官本人或家属</w:t>
            </w:r>
            <w:r>
              <w:rPr>
                <w:rFonts w:hint="default" w:ascii="Times New Roman" w:hAnsi="Times New Roman" w:eastAsia="方正仿宋简体" w:cs="Times New Roman"/>
                <w:b w:val="0"/>
                <w:bCs w:val="0"/>
                <w:color w:val="auto"/>
                <w:spacing w:val="0"/>
                <w:kern w:val="2"/>
                <w:sz w:val="20"/>
                <w:szCs w:val="20"/>
                <w:u w:val="none"/>
                <w:lang w:val="en-US" w:eastAsia="zh-CN" w:bidi="ar-SA"/>
              </w:rPr>
              <w:t>向</w:t>
            </w:r>
            <w:r>
              <w:rPr>
                <w:rFonts w:hint="eastAsia" w:ascii="Times New Roman" w:hAnsi="Times New Roman" w:eastAsia="方正仿宋简体" w:cs="Times New Roman"/>
                <w:b w:val="0"/>
                <w:bCs w:val="0"/>
                <w:color w:val="auto"/>
                <w:spacing w:val="0"/>
                <w:kern w:val="2"/>
                <w:sz w:val="20"/>
                <w:szCs w:val="20"/>
                <w:u w:val="none"/>
                <w:lang w:val="en-US" w:eastAsia="zh-CN" w:bidi="ar-SA"/>
              </w:rPr>
              <w:t>安置</w:t>
            </w:r>
            <w:r>
              <w:rPr>
                <w:rFonts w:hint="default" w:ascii="Times New Roman" w:hAnsi="Times New Roman" w:eastAsia="方正仿宋简体" w:cs="Times New Roman"/>
                <w:b w:val="0"/>
                <w:bCs w:val="0"/>
                <w:color w:val="auto"/>
                <w:spacing w:val="0"/>
                <w:kern w:val="2"/>
                <w:sz w:val="20"/>
                <w:szCs w:val="20"/>
                <w:u w:val="none"/>
                <w:lang w:val="en-US" w:eastAsia="zh-CN" w:bidi="ar-SA"/>
              </w:rPr>
              <w:t>地</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提出申请</w:t>
            </w:r>
            <w:r>
              <w:rPr>
                <w:rFonts w:hint="eastAsia" w:ascii="Times New Roman" w:hAnsi="Times New Roman" w:eastAsia="方正仿宋简体" w:cs="Times New Roman"/>
                <w:b w:val="0"/>
                <w:bCs w:val="0"/>
                <w:color w:val="auto"/>
                <w:spacing w:val="0"/>
                <w:kern w:val="2"/>
                <w:sz w:val="20"/>
                <w:szCs w:val="20"/>
                <w:u w:val="none"/>
                <w:lang w:val="en-US" w:eastAsia="zh-CN" w:bidi="ar-SA"/>
              </w:rPr>
              <w:t>和相关证明材料</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31C8B05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w:t>
            </w:r>
            <w:r>
              <w:rPr>
                <w:rFonts w:hint="eastAsia" w:ascii="Times New Roman" w:hAnsi="Times New Roman" w:eastAsia="方正仿宋简体" w:cs="Times New Roman"/>
                <w:b w:val="0"/>
                <w:bCs w:val="0"/>
                <w:color w:val="auto"/>
                <w:spacing w:val="0"/>
                <w:kern w:val="2"/>
                <w:sz w:val="20"/>
                <w:szCs w:val="20"/>
                <w:u w:val="none"/>
                <w:lang w:val="en-US" w:eastAsia="zh-CN" w:bidi="ar-SA"/>
              </w:rPr>
              <w:t>省</w:t>
            </w:r>
            <w:r>
              <w:rPr>
                <w:rFonts w:hint="default" w:ascii="Times New Roman" w:hAnsi="Times New Roman" w:eastAsia="方正仿宋简体" w:cs="Times New Roman"/>
                <w:b w:val="0"/>
                <w:bCs w:val="0"/>
                <w:color w:val="auto"/>
                <w:spacing w:val="0"/>
                <w:kern w:val="2"/>
                <w:sz w:val="20"/>
                <w:szCs w:val="20"/>
                <w:u w:val="none"/>
                <w:lang w:val="en-US" w:eastAsia="zh-CN" w:bidi="ar-SA"/>
              </w:rPr>
              <w:t>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审核；</w:t>
            </w:r>
          </w:p>
          <w:p w14:paraId="542DB17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w:t>
            </w:r>
            <w:r>
              <w:rPr>
                <w:rFonts w:hint="eastAsia" w:ascii="Times New Roman" w:hAnsi="Times New Roman" w:eastAsia="方正仿宋简体" w:cs="Times New Roman"/>
                <w:b w:val="0"/>
                <w:bCs w:val="0"/>
                <w:color w:val="auto"/>
                <w:spacing w:val="0"/>
                <w:kern w:val="2"/>
                <w:sz w:val="20"/>
                <w:szCs w:val="20"/>
                <w:u w:val="none"/>
                <w:lang w:val="en-US" w:eastAsia="zh-CN" w:bidi="ar-SA"/>
              </w:rPr>
              <w:t>同级</w:t>
            </w:r>
            <w:r>
              <w:rPr>
                <w:rFonts w:hint="default" w:ascii="Times New Roman" w:hAnsi="Times New Roman" w:eastAsia="方正仿宋简体" w:cs="Times New Roman"/>
                <w:b w:val="0"/>
                <w:bCs w:val="0"/>
                <w:color w:val="auto"/>
                <w:spacing w:val="0"/>
                <w:kern w:val="2"/>
                <w:sz w:val="20"/>
                <w:szCs w:val="20"/>
                <w:u w:val="none"/>
                <w:lang w:val="en-US" w:eastAsia="zh-CN" w:bidi="ar-SA"/>
              </w:rPr>
              <w:t>财政部门审核、拨付资金；</w:t>
            </w:r>
          </w:p>
          <w:p w14:paraId="7A1F92E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4.代发金融机构将资金发放到</w:t>
            </w:r>
            <w:r>
              <w:rPr>
                <w:rFonts w:hint="eastAsia" w:ascii="Times New Roman" w:hAnsi="Times New Roman" w:eastAsia="方正仿宋简体" w:cs="Times New Roman"/>
                <w:b w:val="0"/>
                <w:bCs w:val="0"/>
                <w:color w:val="auto"/>
                <w:spacing w:val="0"/>
                <w:kern w:val="2"/>
                <w:sz w:val="20"/>
                <w:szCs w:val="20"/>
                <w:u w:val="none"/>
                <w:lang w:val="en-US" w:eastAsia="zh-CN" w:bidi="ar-SA"/>
              </w:rPr>
              <w:t>本</w:t>
            </w:r>
            <w:r>
              <w:rPr>
                <w:rFonts w:hint="default" w:ascii="Times New Roman" w:hAnsi="Times New Roman" w:eastAsia="方正仿宋简体" w:cs="Times New Roman"/>
                <w:b w:val="0"/>
                <w:bCs w:val="0"/>
                <w:color w:val="auto"/>
                <w:spacing w:val="0"/>
                <w:kern w:val="2"/>
                <w:sz w:val="20"/>
                <w:szCs w:val="20"/>
                <w:u w:val="none"/>
                <w:lang w:val="en-US" w:eastAsia="zh-CN" w:bidi="ar-SA"/>
              </w:rPr>
              <w:t>人</w:t>
            </w:r>
            <w:r>
              <w:rPr>
                <w:rFonts w:hint="eastAsia" w:ascii="Times New Roman" w:hAnsi="Times New Roman" w:eastAsia="方正仿宋简体" w:cs="Times New Roman"/>
                <w:b w:val="0"/>
                <w:bCs w:val="0"/>
                <w:color w:val="auto"/>
                <w:spacing w:val="0"/>
                <w:kern w:val="2"/>
                <w:sz w:val="20"/>
                <w:szCs w:val="20"/>
                <w:u w:val="none"/>
                <w:lang w:val="en-US" w:eastAsia="zh-CN" w:bidi="ar-SA"/>
              </w:rPr>
              <w:t>或家</w:t>
            </w:r>
            <w:r>
              <w:rPr>
                <w:rFonts w:hint="default" w:ascii="Times New Roman" w:hAnsi="Times New Roman" w:eastAsia="方正仿宋简体" w:cs="Times New Roman"/>
                <w:b w:val="0"/>
                <w:bCs w:val="0"/>
                <w:color w:val="auto"/>
                <w:spacing w:val="0"/>
                <w:kern w:val="2"/>
                <w:sz w:val="20"/>
                <w:szCs w:val="20"/>
                <w:u w:val="none"/>
                <w:lang w:val="en-US" w:eastAsia="zh-CN" w:bidi="ar-SA"/>
              </w:rPr>
              <w:t>属指定账户。</w:t>
            </w:r>
          </w:p>
          <w:p w14:paraId="3676033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81" w:type="dxa"/>
            <w:vAlign w:val="center"/>
          </w:tcPr>
          <w:p w14:paraId="3846793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同级</w:t>
            </w:r>
            <w:r>
              <w:rPr>
                <w:rFonts w:hint="default" w:ascii="Times New Roman" w:hAnsi="Times New Roman" w:eastAsia="方正仿宋简体" w:cs="Times New Roman"/>
                <w:b w:val="0"/>
                <w:bCs w:val="0"/>
                <w:color w:val="auto"/>
                <w:spacing w:val="0"/>
                <w:kern w:val="2"/>
                <w:sz w:val="20"/>
                <w:szCs w:val="20"/>
                <w:u w:val="none"/>
                <w:lang w:val="en-US" w:eastAsia="zh-CN" w:bidi="ar-SA"/>
              </w:rPr>
              <w:t>财政部门审核、拨付资金之日起60个工作日内发放。</w:t>
            </w:r>
          </w:p>
          <w:p w14:paraId="04E8F6B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96" w:type="dxa"/>
            <w:vAlign w:val="center"/>
          </w:tcPr>
          <w:p w14:paraId="0322304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1B20648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1.申请书；</w:t>
            </w:r>
          </w:p>
          <w:p w14:paraId="2CE0D80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w:t>
            </w:r>
            <w:r>
              <w:rPr>
                <w:rFonts w:hint="eastAsia" w:ascii="Times New Roman" w:hAnsi="Times New Roman" w:eastAsia="方正仿宋简体" w:cs="Times New Roman"/>
                <w:b w:val="0"/>
                <w:bCs w:val="0"/>
                <w:color w:val="auto"/>
                <w:spacing w:val="0"/>
                <w:kern w:val="2"/>
                <w:sz w:val="20"/>
                <w:szCs w:val="20"/>
                <w:u w:val="none"/>
                <w:lang w:val="en-US" w:eastAsia="zh-CN" w:bidi="ar-SA"/>
              </w:rPr>
              <w:t>伤亡</w:t>
            </w:r>
            <w:r>
              <w:rPr>
                <w:rFonts w:hint="default" w:ascii="Times New Roman" w:hAnsi="Times New Roman" w:eastAsia="方正仿宋简体" w:cs="Times New Roman"/>
                <w:b w:val="0"/>
                <w:bCs w:val="0"/>
                <w:color w:val="auto"/>
                <w:spacing w:val="0"/>
                <w:kern w:val="2"/>
                <w:sz w:val="20"/>
                <w:szCs w:val="20"/>
                <w:u w:val="none"/>
                <w:lang w:val="en-US" w:eastAsia="zh-CN" w:bidi="ar-SA"/>
              </w:rPr>
              <w:t>证明；</w:t>
            </w:r>
          </w:p>
          <w:p w14:paraId="6686A49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w:t>
            </w:r>
            <w:r>
              <w:rPr>
                <w:rFonts w:hint="eastAsia" w:ascii="Times New Roman" w:hAnsi="Times New Roman" w:eastAsia="方正仿宋简体" w:cs="Times New Roman"/>
                <w:b w:val="0"/>
                <w:bCs w:val="0"/>
                <w:color w:val="auto"/>
                <w:spacing w:val="0"/>
                <w:kern w:val="2"/>
                <w:sz w:val="20"/>
                <w:szCs w:val="20"/>
                <w:u w:val="none"/>
                <w:lang w:val="en-US" w:eastAsia="zh-CN" w:bidi="ar-SA"/>
              </w:rPr>
              <w:t>亡故的还需提供</w:t>
            </w:r>
            <w:r>
              <w:rPr>
                <w:rFonts w:hint="default" w:ascii="Times New Roman" w:hAnsi="Times New Roman" w:eastAsia="方正仿宋简体" w:cs="Times New Roman"/>
                <w:b w:val="0"/>
                <w:bCs w:val="0"/>
                <w:color w:val="auto"/>
                <w:spacing w:val="0"/>
                <w:kern w:val="2"/>
                <w:sz w:val="20"/>
                <w:szCs w:val="20"/>
                <w:u w:val="none"/>
                <w:lang w:val="en-US" w:eastAsia="zh-CN" w:bidi="ar-SA"/>
              </w:rPr>
              <w:t>申请人与病故</w:t>
            </w:r>
            <w:r>
              <w:rPr>
                <w:rFonts w:hint="eastAsia" w:ascii="Times New Roman" w:hAnsi="Times New Roman" w:eastAsia="方正仿宋简体" w:cs="Times New Roman"/>
                <w:b w:val="0"/>
                <w:bCs w:val="0"/>
                <w:color w:val="auto"/>
                <w:spacing w:val="0"/>
                <w:kern w:val="2"/>
                <w:sz w:val="20"/>
                <w:szCs w:val="20"/>
                <w:u w:val="none"/>
                <w:lang w:val="en-US" w:eastAsia="zh-CN" w:bidi="ar-SA"/>
              </w:rPr>
              <w:t>军队离休、退休干部和退休士官</w:t>
            </w:r>
            <w:r>
              <w:rPr>
                <w:rFonts w:hint="default" w:ascii="Times New Roman" w:hAnsi="Times New Roman" w:eastAsia="方正仿宋简体" w:cs="Times New Roman"/>
                <w:b w:val="0"/>
                <w:bCs w:val="0"/>
                <w:color w:val="auto"/>
                <w:spacing w:val="0"/>
                <w:kern w:val="2"/>
                <w:sz w:val="20"/>
                <w:szCs w:val="20"/>
                <w:u w:val="none"/>
                <w:lang w:val="en-US" w:eastAsia="zh-CN" w:bidi="ar-SA"/>
              </w:rPr>
              <w:t>关系证明；</w:t>
            </w:r>
          </w:p>
          <w:p w14:paraId="1542BEF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4.多个有权申请人之间签订的分配协议书；</w:t>
            </w:r>
          </w:p>
          <w:p w14:paraId="5C4F57E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5.经申请人确认的</w:t>
            </w:r>
            <w:r>
              <w:rPr>
                <w:rFonts w:hint="default" w:ascii="Times New Roman" w:hAnsi="Times New Roman" w:eastAsia="方正仿宋简体" w:cs="Times New Roman"/>
                <w:b w:val="0"/>
                <w:bCs w:val="0"/>
                <w:color w:val="auto"/>
                <w:spacing w:val="0"/>
                <w:kern w:val="2"/>
                <w:sz w:val="20"/>
                <w:szCs w:val="20"/>
                <w:u w:val="none"/>
                <w:lang w:val="en-US" w:eastAsia="zh-CN" w:bidi="ar-SA"/>
              </w:rPr>
              <w:t>银行卡</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存折账户</w:t>
            </w:r>
            <w:r>
              <w:rPr>
                <w:rFonts w:hint="eastAsia" w:ascii="Times New Roman" w:hAnsi="Times New Roman" w:eastAsia="方正仿宋简体" w:cs="Times New Roman"/>
                <w:b w:val="0"/>
                <w:bCs w:val="0"/>
                <w:color w:val="auto"/>
                <w:spacing w:val="0"/>
                <w:kern w:val="2"/>
                <w:sz w:val="20"/>
                <w:szCs w:val="20"/>
                <w:u w:val="none"/>
                <w:lang w:val="en-US" w:eastAsia="zh-CN" w:bidi="ar-SA"/>
              </w:rPr>
              <w:t>等合法银行账户</w:t>
            </w:r>
            <w:r>
              <w:rPr>
                <w:rFonts w:hint="default" w:ascii="Times New Roman" w:hAnsi="Times New Roman" w:eastAsia="方正仿宋简体" w:cs="Times New Roman"/>
                <w:b w:val="0"/>
                <w:bCs w:val="0"/>
                <w:color w:val="auto"/>
                <w:spacing w:val="0"/>
                <w:kern w:val="2"/>
                <w:sz w:val="20"/>
                <w:szCs w:val="20"/>
                <w:u w:val="none"/>
                <w:lang w:val="en-US" w:eastAsia="zh-CN" w:bidi="ar-SA"/>
              </w:rPr>
              <w:t>信息。</w:t>
            </w:r>
          </w:p>
          <w:p w14:paraId="2CDF63F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r>
      <w:tr w14:paraId="349A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5196434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16</w:t>
            </w:r>
          </w:p>
        </w:tc>
        <w:tc>
          <w:tcPr>
            <w:tcW w:w="791" w:type="dxa"/>
            <w:vAlign w:val="center"/>
          </w:tcPr>
          <w:p w14:paraId="4A3759C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义务兵家庭优待金的给付</w:t>
            </w:r>
          </w:p>
        </w:tc>
        <w:tc>
          <w:tcPr>
            <w:tcW w:w="709" w:type="dxa"/>
            <w:vAlign w:val="center"/>
          </w:tcPr>
          <w:p w14:paraId="24DEC44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行政给付</w:t>
            </w:r>
          </w:p>
        </w:tc>
        <w:tc>
          <w:tcPr>
            <w:tcW w:w="4446" w:type="dxa"/>
            <w:vAlign w:val="center"/>
          </w:tcPr>
          <w:p w14:paraId="2CCC538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1.</w:t>
            </w: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军人抚恤优待</w:t>
            </w:r>
            <w:r>
              <w:rPr>
                <w:rFonts w:hint="default" w:ascii="Times New Roman" w:hAnsi="Times New Roman" w:eastAsia="方正仿宋简体" w:cs="Times New Roman"/>
                <w:b w:val="0"/>
                <w:bCs w:val="0"/>
                <w:color w:val="auto"/>
                <w:spacing w:val="0"/>
                <w:kern w:val="2"/>
                <w:sz w:val="20"/>
                <w:szCs w:val="20"/>
                <w:u w:val="none"/>
                <w:lang w:val="en-US" w:eastAsia="zh-CN" w:bidi="ar-SA"/>
              </w:rPr>
              <w:t>条例》第</w:t>
            </w:r>
            <w:r>
              <w:rPr>
                <w:rFonts w:hint="eastAsia" w:ascii="Times New Roman" w:hAnsi="Times New Roman" w:eastAsia="方正仿宋简体" w:cs="Times New Roman"/>
                <w:b w:val="0"/>
                <w:bCs w:val="0"/>
                <w:color w:val="auto"/>
                <w:spacing w:val="0"/>
                <w:kern w:val="2"/>
                <w:sz w:val="20"/>
                <w:szCs w:val="20"/>
                <w:u w:val="none"/>
                <w:lang w:val="en-US" w:eastAsia="zh-CN" w:bidi="ar-SA"/>
              </w:rPr>
              <w:t>四</w:t>
            </w:r>
            <w:r>
              <w:rPr>
                <w:rFonts w:hint="default" w:ascii="Times New Roman" w:hAnsi="Times New Roman" w:eastAsia="方正仿宋简体" w:cs="Times New Roman"/>
                <w:b w:val="0"/>
                <w:bCs w:val="0"/>
                <w:color w:val="auto"/>
                <w:spacing w:val="0"/>
                <w:kern w:val="2"/>
                <w:sz w:val="20"/>
                <w:szCs w:val="20"/>
                <w:u w:val="none"/>
                <w:lang w:val="en-US" w:eastAsia="zh-CN" w:bidi="ar-SA"/>
              </w:rPr>
              <w:t>十</w:t>
            </w:r>
            <w:r>
              <w:rPr>
                <w:rFonts w:hint="eastAsia" w:ascii="Times New Roman" w:hAnsi="Times New Roman" w:eastAsia="方正仿宋简体" w:cs="Times New Roman"/>
                <w:b w:val="0"/>
                <w:bCs w:val="0"/>
                <w:color w:val="auto"/>
                <w:spacing w:val="0"/>
                <w:kern w:val="2"/>
                <w:sz w:val="20"/>
                <w:szCs w:val="20"/>
                <w:u w:val="none"/>
                <w:lang w:val="en-US" w:eastAsia="zh-CN" w:bidi="ar-SA"/>
              </w:rPr>
              <w:t>二</w:t>
            </w:r>
            <w:r>
              <w:rPr>
                <w:rFonts w:hint="default" w:ascii="Times New Roman" w:hAnsi="Times New Roman" w:eastAsia="方正仿宋简体" w:cs="Times New Roman"/>
                <w:b w:val="0"/>
                <w:bCs w:val="0"/>
                <w:color w:val="auto"/>
                <w:spacing w:val="0"/>
                <w:kern w:val="2"/>
                <w:sz w:val="20"/>
                <w:szCs w:val="20"/>
                <w:u w:val="none"/>
                <w:lang w:val="en-US" w:eastAsia="zh-CN" w:bidi="ar-SA"/>
              </w:rPr>
              <w:t xml:space="preserve">条 </w:t>
            </w:r>
            <w:r>
              <w:rPr>
                <w:rFonts w:hint="eastAsia" w:ascii="Times New Roman" w:hAnsi="Times New Roman" w:eastAsia="方正仿宋简体" w:cs="Times New Roman"/>
                <w:b w:val="0"/>
                <w:bCs w:val="0"/>
                <w:color w:val="auto"/>
                <w:spacing w:val="0"/>
                <w:kern w:val="2"/>
                <w:sz w:val="20"/>
                <w:szCs w:val="20"/>
                <w:u w:val="none"/>
                <w:lang w:val="en-US" w:eastAsia="zh-CN" w:bidi="ar-SA"/>
              </w:rPr>
              <w:t>国家建立中央和地方财政分级负担的义务兵家庭优待金制度，义务兵服现役期间，其家庭由批准入伍地县级人民政府发给优待金，同时按照规定享受其他优待。</w:t>
            </w:r>
          </w:p>
          <w:p w14:paraId="2F241B6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8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2.《西藏自治区〈退役士兵安置条例〉实施细则》第二十二条 为体现对义务兵家庭的照顾和优待，实行城乡统一的优待金制度，即士兵服义务兵期间，义务兵家属优待金统一按两年24000元的标准，给其家庭发放优待金。</w:t>
            </w:r>
          </w:p>
        </w:tc>
        <w:tc>
          <w:tcPr>
            <w:tcW w:w="1841" w:type="dxa"/>
            <w:vAlign w:val="center"/>
          </w:tcPr>
          <w:p w14:paraId="79F84C0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2A7ACD1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西藏籍义务兵</w:t>
            </w:r>
          </w:p>
          <w:p w14:paraId="49EE681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2332" w:type="dxa"/>
            <w:vAlign w:val="center"/>
          </w:tcPr>
          <w:p w14:paraId="4304E8F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1.县级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退役军人工作主管部门根据县人民武装部提供的征兵情况和义务兵服役情况进行</w:t>
            </w:r>
            <w:r>
              <w:rPr>
                <w:rFonts w:hint="default" w:ascii="Times New Roman" w:hAnsi="Times New Roman" w:eastAsia="方正仿宋简体" w:cs="Times New Roman"/>
                <w:b w:val="0"/>
                <w:bCs w:val="0"/>
                <w:color w:val="auto"/>
                <w:spacing w:val="0"/>
                <w:kern w:val="2"/>
                <w:sz w:val="20"/>
                <w:szCs w:val="20"/>
                <w:u w:val="none"/>
                <w:lang w:val="en-US" w:eastAsia="zh-CN" w:bidi="ar-SA"/>
              </w:rPr>
              <w:t>审核；</w:t>
            </w:r>
          </w:p>
          <w:p w14:paraId="7C4222B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2</w:t>
            </w:r>
            <w:r>
              <w:rPr>
                <w:rFonts w:hint="default" w:ascii="Times New Roman" w:hAnsi="Times New Roman" w:eastAsia="方正仿宋简体" w:cs="Times New Roman"/>
                <w:b w:val="0"/>
                <w:bCs w:val="0"/>
                <w:color w:val="auto"/>
                <w:spacing w:val="0"/>
                <w:kern w:val="2"/>
                <w:sz w:val="20"/>
                <w:szCs w:val="20"/>
                <w:u w:val="none"/>
                <w:lang w:val="en-US" w:eastAsia="zh-CN" w:bidi="ar-SA"/>
              </w:rPr>
              <w:t>.县级财政部门审核、拨付资金；</w:t>
            </w:r>
          </w:p>
          <w:p w14:paraId="1B27C48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3</w:t>
            </w:r>
            <w:r>
              <w:rPr>
                <w:rFonts w:hint="default" w:ascii="Times New Roman" w:hAnsi="Times New Roman" w:eastAsia="方正仿宋简体" w:cs="Times New Roman"/>
                <w:b w:val="0"/>
                <w:bCs w:val="0"/>
                <w:color w:val="auto"/>
                <w:spacing w:val="0"/>
                <w:kern w:val="2"/>
                <w:sz w:val="20"/>
                <w:szCs w:val="20"/>
                <w:u w:val="none"/>
                <w:lang w:val="en-US" w:eastAsia="zh-CN" w:bidi="ar-SA"/>
              </w:rPr>
              <w:t>.代发金融机构将资金发放到</w:t>
            </w:r>
            <w:r>
              <w:rPr>
                <w:rFonts w:hint="eastAsia" w:ascii="Times New Roman" w:hAnsi="Times New Roman" w:eastAsia="方正仿宋简体" w:cs="Times New Roman"/>
                <w:b w:val="0"/>
                <w:bCs w:val="0"/>
                <w:color w:val="auto"/>
                <w:spacing w:val="0"/>
                <w:kern w:val="2"/>
                <w:sz w:val="20"/>
                <w:szCs w:val="20"/>
                <w:u w:val="none"/>
                <w:lang w:val="en-US" w:eastAsia="zh-CN" w:bidi="ar-SA"/>
              </w:rPr>
              <w:t>义务兵</w:t>
            </w:r>
            <w:r>
              <w:rPr>
                <w:rFonts w:hint="default" w:ascii="Times New Roman" w:hAnsi="Times New Roman" w:eastAsia="方正仿宋简体" w:cs="Times New Roman"/>
                <w:b w:val="0"/>
                <w:bCs w:val="0"/>
                <w:color w:val="auto"/>
                <w:spacing w:val="0"/>
                <w:kern w:val="2"/>
                <w:sz w:val="20"/>
                <w:szCs w:val="20"/>
                <w:u w:val="none"/>
                <w:lang w:val="en-US" w:eastAsia="zh-CN" w:bidi="ar-SA"/>
              </w:rPr>
              <w:t>个人指定账户。</w:t>
            </w:r>
          </w:p>
        </w:tc>
        <w:tc>
          <w:tcPr>
            <w:tcW w:w="1581" w:type="dxa"/>
            <w:vAlign w:val="center"/>
          </w:tcPr>
          <w:p w14:paraId="626F5C7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每半年发放1次</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595372C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96" w:type="dxa"/>
            <w:vAlign w:val="center"/>
          </w:tcPr>
          <w:p w14:paraId="06ED204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无</w:t>
            </w:r>
          </w:p>
          <w:p w14:paraId="45A057B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r>
      <w:tr w14:paraId="1391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9" w:hRule="atLeast"/>
        </w:trPr>
        <w:tc>
          <w:tcPr>
            <w:tcW w:w="668" w:type="dxa"/>
            <w:vAlign w:val="center"/>
          </w:tcPr>
          <w:p w14:paraId="6BF9B21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17</w:t>
            </w:r>
          </w:p>
        </w:tc>
        <w:tc>
          <w:tcPr>
            <w:tcW w:w="791" w:type="dxa"/>
            <w:vAlign w:val="center"/>
          </w:tcPr>
          <w:p w14:paraId="595D317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退出现役的残疾军人抚恤金的给付</w:t>
            </w:r>
          </w:p>
        </w:tc>
        <w:tc>
          <w:tcPr>
            <w:tcW w:w="709" w:type="dxa"/>
            <w:vAlign w:val="center"/>
          </w:tcPr>
          <w:p w14:paraId="44AE0B4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行政给付</w:t>
            </w:r>
          </w:p>
        </w:tc>
        <w:tc>
          <w:tcPr>
            <w:tcW w:w="4446" w:type="dxa"/>
            <w:vAlign w:val="center"/>
          </w:tcPr>
          <w:p w14:paraId="0D524D2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18"/>
                <w:szCs w:val="18"/>
                <w:u w:val="none"/>
                <w:lang w:val="en-US" w:eastAsia="zh-CN" w:bidi="ar-SA"/>
              </w:rPr>
            </w:pPr>
            <w:r>
              <w:rPr>
                <w:rFonts w:hint="default" w:ascii="Times New Roman" w:hAnsi="Times New Roman" w:eastAsia="方正仿宋简体" w:cs="Times New Roman"/>
                <w:b w:val="0"/>
                <w:bCs w:val="0"/>
                <w:color w:val="auto"/>
                <w:spacing w:val="0"/>
                <w:kern w:val="2"/>
                <w:sz w:val="18"/>
                <w:szCs w:val="18"/>
                <w:u w:val="none"/>
                <w:lang w:val="en-US" w:eastAsia="zh-CN" w:bidi="ar-SA"/>
              </w:rPr>
              <w:t>1.《</w:t>
            </w:r>
            <w:r>
              <w:rPr>
                <w:rFonts w:hint="eastAsia" w:ascii="Times New Roman" w:hAnsi="Times New Roman" w:eastAsia="方正仿宋简体" w:cs="Times New Roman"/>
                <w:b w:val="0"/>
                <w:bCs w:val="0"/>
                <w:color w:val="auto"/>
                <w:spacing w:val="0"/>
                <w:kern w:val="2"/>
                <w:sz w:val="18"/>
                <w:szCs w:val="18"/>
                <w:u w:val="none"/>
                <w:lang w:val="en-US" w:eastAsia="zh-CN" w:bidi="ar-SA"/>
              </w:rPr>
              <w:t>中华人民共和国退役军人保障法</w:t>
            </w:r>
            <w:r>
              <w:rPr>
                <w:rFonts w:hint="default" w:ascii="Times New Roman" w:hAnsi="Times New Roman" w:eastAsia="方正仿宋简体" w:cs="Times New Roman"/>
                <w:b w:val="0"/>
                <w:bCs w:val="0"/>
                <w:color w:val="auto"/>
                <w:spacing w:val="0"/>
                <w:kern w:val="2"/>
                <w:sz w:val="18"/>
                <w:szCs w:val="18"/>
                <w:u w:val="none"/>
                <w:lang w:val="en-US" w:eastAsia="zh-CN" w:bidi="ar-SA"/>
              </w:rPr>
              <w:t>》第</w:t>
            </w:r>
            <w:r>
              <w:rPr>
                <w:rFonts w:hint="eastAsia" w:ascii="Times New Roman" w:hAnsi="Times New Roman" w:eastAsia="方正仿宋简体" w:cs="Times New Roman"/>
                <w:b w:val="0"/>
                <w:bCs w:val="0"/>
                <w:color w:val="auto"/>
                <w:spacing w:val="0"/>
                <w:kern w:val="2"/>
                <w:sz w:val="18"/>
                <w:szCs w:val="18"/>
                <w:u w:val="none"/>
                <w:lang w:val="en-US" w:eastAsia="zh-CN" w:bidi="ar-SA"/>
              </w:rPr>
              <w:t>五</w:t>
            </w:r>
            <w:r>
              <w:rPr>
                <w:rFonts w:hint="default" w:ascii="Times New Roman" w:hAnsi="Times New Roman" w:eastAsia="方正仿宋简体" w:cs="Times New Roman"/>
                <w:b w:val="0"/>
                <w:bCs w:val="0"/>
                <w:color w:val="auto"/>
                <w:spacing w:val="0"/>
                <w:kern w:val="2"/>
                <w:sz w:val="18"/>
                <w:szCs w:val="18"/>
                <w:u w:val="none"/>
                <w:lang w:val="en-US" w:eastAsia="zh-CN" w:bidi="ar-SA"/>
              </w:rPr>
              <w:t>十</w:t>
            </w:r>
            <w:r>
              <w:rPr>
                <w:rFonts w:hint="eastAsia" w:ascii="Times New Roman" w:hAnsi="Times New Roman" w:eastAsia="方正仿宋简体" w:cs="Times New Roman"/>
                <w:b w:val="0"/>
                <w:bCs w:val="0"/>
                <w:color w:val="auto"/>
                <w:spacing w:val="0"/>
                <w:kern w:val="2"/>
                <w:sz w:val="18"/>
                <w:szCs w:val="18"/>
                <w:u w:val="none"/>
                <w:lang w:val="en-US" w:eastAsia="zh-CN" w:bidi="ar-SA"/>
              </w:rPr>
              <w:t>六</w:t>
            </w:r>
            <w:r>
              <w:rPr>
                <w:rFonts w:hint="default" w:ascii="Times New Roman" w:hAnsi="Times New Roman" w:eastAsia="方正仿宋简体" w:cs="Times New Roman"/>
                <w:b w:val="0"/>
                <w:bCs w:val="0"/>
                <w:color w:val="auto"/>
                <w:spacing w:val="0"/>
                <w:kern w:val="2"/>
                <w:sz w:val="18"/>
                <w:szCs w:val="18"/>
                <w:u w:val="none"/>
                <w:lang w:val="en-US" w:eastAsia="zh-CN" w:bidi="ar-SA"/>
              </w:rPr>
              <w:t xml:space="preserve">条 </w:t>
            </w:r>
            <w:r>
              <w:rPr>
                <w:rFonts w:hint="eastAsia" w:ascii="Times New Roman" w:hAnsi="Times New Roman" w:eastAsia="方正仿宋简体" w:cs="Times New Roman"/>
                <w:b w:val="0"/>
                <w:bCs w:val="0"/>
                <w:color w:val="auto"/>
                <w:spacing w:val="0"/>
                <w:kern w:val="2"/>
                <w:sz w:val="18"/>
                <w:szCs w:val="18"/>
                <w:u w:val="none"/>
                <w:lang w:val="en-US" w:eastAsia="zh-CN" w:bidi="ar-SA"/>
              </w:rPr>
              <w:t>残疾退役军人依法享受抚恤。残疾退役军人按照残疾等级享受残疾抚恤金，标准由国务院退役军人工作主管部门会同国务院财政部门综合考虑国家经济社会发展水平、消费物价水平、全国城镇单位就业人员工资水平、国家财力情况等因素确定。残疾抚恤金由县级人民政府退役军人工作主管部门发放。对自主就业的退役军士和义务兵，地方人民政府可以根据当地实际情况给予一次性经济补助，补助标准及发放办法由省、自治区、直辖市人民政府制定。</w:t>
            </w:r>
          </w:p>
          <w:p w14:paraId="503C04E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18"/>
                <w:szCs w:val="18"/>
                <w:u w:val="none"/>
                <w:lang w:val="en-US" w:eastAsia="zh-CN" w:bidi="ar-SA"/>
              </w:rPr>
            </w:pPr>
            <w:r>
              <w:rPr>
                <w:rFonts w:hint="eastAsia" w:ascii="Times New Roman" w:hAnsi="Times New Roman" w:eastAsia="方正仿宋简体" w:cs="Times New Roman"/>
                <w:b w:val="0"/>
                <w:bCs w:val="0"/>
                <w:color w:val="auto"/>
                <w:spacing w:val="0"/>
                <w:kern w:val="2"/>
                <w:sz w:val="18"/>
                <w:szCs w:val="18"/>
                <w:u w:val="none"/>
                <w:lang w:val="en-US" w:eastAsia="zh-CN" w:bidi="ar-SA"/>
              </w:rPr>
              <w:t>2.</w:t>
            </w:r>
            <w:r>
              <w:rPr>
                <w:rFonts w:hint="default" w:ascii="Times New Roman" w:hAnsi="Times New Roman" w:eastAsia="方正仿宋简体" w:cs="Times New Roman"/>
                <w:b w:val="0"/>
                <w:bCs w:val="0"/>
                <w:color w:val="auto"/>
                <w:spacing w:val="0"/>
                <w:kern w:val="2"/>
                <w:sz w:val="18"/>
                <w:szCs w:val="18"/>
                <w:u w:val="none"/>
                <w:lang w:val="en-US" w:eastAsia="zh-CN" w:bidi="ar-SA"/>
              </w:rPr>
              <w:t>《</w:t>
            </w:r>
            <w:r>
              <w:rPr>
                <w:rFonts w:hint="eastAsia" w:ascii="Times New Roman" w:hAnsi="Times New Roman" w:eastAsia="方正仿宋简体" w:cs="Times New Roman"/>
                <w:b w:val="0"/>
                <w:bCs w:val="0"/>
                <w:color w:val="auto"/>
                <w:spacing w:val="0"/>
                <w:kern w:val="2"/>
                <w:sz w:val="18"/>
                <w:szCs w:val="18"/>
                <w:u w:val="none"/>
                <w:lang w:val="en-US" w:eastAsia="zh-CN" w:bidi="ar-SA"/>
              </w:rPr>
              <w:t>军人抚恤优待条例</w:t>
            </w:r>
            <w:r>
              <w:rPr>
                <w:rFonts w:hint="default" w:ascii="Times New Roman" w:hAnsi="Times New Roman" w:eastAsia="方正仿宋简体" w:cs="Times New Roman"/>
                <w:b w:val="0"/>
                <w:bCs w:val="0"/>
                <w:color w:val="auto"/>
                <w:spacing w:val="0"/>
                <w:kern w:val="2"/>
                <w:sz w:val="18"/>
                <w:szCs w:val="18"/>
                <w:u w:val="none"/>
                <w:lang w:val="en-US" w:eastAsia="zh-CN" w:bidi="ar-SA"/>
              </w:rPr>
              <w:t>》第</w:t>
            </w:r>
            <w:r>
              <w:rPr>
                <w:rFonts w:hint="eastAsia" w:ascii="Times New Roman" w:hAnsi="Times New Roman" w:eastAsia="方正仿宋简体" w:cs="Times New Roman"/>
                <w:b w:val="0"/>
                <w:bCs w:val="0"/>
                <w:color w:val="auto"/>
                <w:spacing w:val="0"/>
                <w:kern w:val="2"/>
                <w:sz w:val="18"/>
                <w:szCs w:val="18"/>
                <w:u w:val="none"/>
                <w:lang w:val="en-US" w:eastAsia="zh-CN" w:bidi="ar-SA"/>
              </w:rPr>
              <w:t>二十七</w:t>
            </w:r>
            <w:r>
              <w:rPr>
                <w:rFonts w:hint="default" w:ascii="Times New Roman" w:hAnsi="Times New Roman" w:eastAsia="方正仿宋简体" w:cs="Times New Roman"/>
                <w:b w:val="0"/>
                <w:bCs w:val="0"/>
                <w:color w:val="auto"/>
                <w:spacing w:val="0"/>
                <w:kern w:val="2"/>
                <w:sz w:val="18"/>
                <w:szCs w:val="18"/>
                <w:u w:val="none"/>
                <w:lang w:val="en-US" w:eastAsia="zh-CN" w:bidi="ar-SA"/>
              </w:rPr>
              <w:t>条</w:t>
            </w:r>
            <w:r>
              <w:rPr>
                <w:rFonts w:hint="eastAsia" w:ascii="Times New Roman" w:hAnsi="Times New Roman" w:eastAsia="方正仿宋简体" w:cs="Times New Roman"/>
                <w:b w:val="0"/>
                <w:bCs w:val="0"/>
                <w:color w:val="auto"/>
                <w:spacing w:val="0"/>
                <w:kern w:val="2"/>
                <w:sz w:val="18"/>
                <w:szCs w:val="18"/>
                <w:u w:val="none"/>
                <w:lang w:val="en-US" w:eastAsia="zh-CN" w:bidi="ar-SA"/>
              </w:rPr>
              <w:t>第二款  因战、因公致残，残疾等级被评定为一级至十级的，享受抚恤；因病致残，残疾等级被评定为一级至六级的，享受抚恤。评定残疾等级的，从批准当月起发给残疾抚恤金。</w:t>
            </w:r>
          </w:p>
          <w:p w14:paraId="32A5468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18"/>
                <w:szCs w:val="18"/>
                <w:u w:val="none"/>
                <w:lang w:val="en-US" w:eastAsia="zh-CN" w:bidi="ar-SA"/>
              </w:rPr>
            </w:pPr>
            <w:r>
              <w:rPr>
                <w:rFonts w:hint="eastAsia" w:ascii="Times New Roman" w:hAnsi="Times New Roman" w:eastAsia="方正仿宋简体" w:cs="Times New Roman"/>
                <w:b w:val="0"/>
                <w:bCs w:val="0"/>
                <w:color w:val="auto"/>
                <w:spacing w:val="0"/>
                <w:kern w:val="2"/>
                <w:sz w:val="18"/>
                <w:szCs w:val="18"/>
                <w:u w:val="none"/>
                <w:lang w:val="en-US" w:eastAsia="zh-CN" w:bidi="ar-SA"/>
              </w:rPr>
              <w:t>第三十条 退出现役的残疾军人或者向政府移交的残疾军人，应当自军队办理退役手续或者移交手续后60日内，向户籍迁入地县级人民政府退役军人工作主管部门申请转入抚恤关系，按照残疾性质和等级享受残疾抚恤金。其退役或者向政府移交当年的残疾抚恤金由所在部队发给，迁入地县级人民政府退役军人工作主管部门从下一年起按照当地的标准发给。</w:t>
            </w:r>
          </w:p>
          <w:p w14:paraId="32197A1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18"/>
                <w:szCs w:val="18"/>
                <w:u w:val="none"/>
                <w:lang w:val="en-US" w:eastAsia="zh-CN" w:bidi="ar-SA"/>
              </w:rPr>
            </w:pPr>
            <w:r>
              <w:rPr>
                <w:rFonts w:hint="eastAsia" w:ascii="Times New Roman" w:hAnsi="Times New Roman" w:eastAsia="方正仿宋简体" w:cs="Times New Roman"/>
                <w:b w:val="0"/>
                <w:bCs w:val="0"/>
                <w:color w:val="auto"/>
                <w:spacing w:val="0"/>
                <w:kern w:val="2"/>
                <w:sz w:val="18"/>
                <w:szCs w:val="18"/>
                <w:u w:val="none"/>
                <w:lang w:val="en-US" w:eastAsia="zh-CN" w:bidi="ar-SA"/>
              </w:rPr>
              <w:t>第三十一条 残疾军人的抚恤金标准应当参照上一年度全国城镇单位就业人员年平均工资水平确定。残疾抚恤金的标准以及一级至十级残疾军人享受残疾抚恤金的具体办法，由国务院退役军人工作主管部门会同国务院财政部门规定。</w:t>
            </w:r>
          </w:p>
          <w:p w14:paraId="1AA0544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18"/>
                <w:szCs w:val="18"/>
                <w:u w:val="none"/>
                <w:lang w:val="en-US" w:eastAsia="zh-CN" w:bidi="ar-SA"/>
              </w:rPr>
            </w:pPr>
            <w:r>
              <w:rPr>
                <w:rFonts w:hint="eastAsia" w:ascii="Times New Roman" w:hAnsi="Times New Roman" w:eastAsia="方正仿宋简体" w:cs="Times New Roman"/>
                <w:b w:val="0"/>
                <w:bCs w:val="0"/>
                <w:color w:val="auto"/>
                <w:spacing w:val="0"/>
                <w:kern w:val="2"/>
                <w:sz w:val="18"/>
                <w:szCs w:val="18"/>
                <w:u w:val="none"/>
                <w:lang w:val="en-US" w:eastAsia="zh-CN" w:bidi="ar-SA"/>
              </w:rPr>
              <w:t>对领取残疾抚恤金后生活仍有特殊困难的残疾军人，县级以上地方人民政府可以增发抚恤金或者采取其他方式予以困难补助。</w:t>
            </w:r>
          </w:p>
          <w:p w14:paraId="55507EC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18"/>
                <w:szCs w:val="18"/>
                <w:u w:val="none"/>
                <w:lang w:val="en-US" w:eastAsia="zh-CN" w:bidi="ar-SA"/>
              </w:rPr>
              <w:t>3.《伤残抚恤管理办法》第二十三条　伤残人员从被评定残疾等级的当月起，由户籍所在地县级人民政府退役军人工作主管部门按照规定予以抚恤。伤残人员抚恤关系转移的，其当年的抚恤金由部队或者迁出地的退役军人工作主管部门负责发给，从下一年起由迁入地退役军人工作主管部门按当地标准发给。由于申请人原因造成抚恤金断发的，不予补发。</w:t>
            </w:r>
          </w:p>
        </w:tc>
        <w:tc>
          <w:tcPr>
            <w:tcW w:w="1841" w:type="dxa"/>
            <w:vAlign w:val="center"/>
          </w:tcPr>
          <w:p w14:paraId="2E74A98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1EC5CE2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伤残抚恤关系在西藏的退出现役的残疾军人</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3588E53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2332" w:type="dxa"/>
            <w:vAlign w:val="center"/>
          </w:tcPr>
          <w:p w14:paraId="494DE83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63444FF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申请人</w:t>
            </w:r>
            <w:r>
              <w:rPr>
                <w:rFonts w:hint="default" w:ascii="Times New Roman" w:hAnsi="Times New Roman" w:eastAsia="方正仿宋简体" w:cs="Times New Roman"/>
                <w:b w:val="0"/>
                <w:bCs w:val="0"/>
                <w:color w:val="auto"/>
                <w:spacing w:val="0"/>
                <w:kern w:val="2"/>
                <w:sz w:val="20"/>
                <w:szCs w:val="20"/>
                <w:u w:val="none"/>
                <w:lang w:val="en-US" w:eastAsia="zh-CN" w:bidi="ar-SA"/>
              </w:rPr>
              <w:t>向</w:t>
            </w:r>
            <w:r>
              <w:rPr>
                <w:rFonts w:hint="eastAsia" w:ascii="Times New Roman" w:hAnsi="Times New Roman" w:eastAsia="方正仿宋简体" w:cs="Times New Roman"/>
                <w:b w:val="0"/>
                <w:bCs w:val="0"/>
                <w:color w:val="auto"/>
                <w:spacing w:val="0"/>
                <w:kern w:val="2"/>
                <w:sz w:val="20"/>
                <w:szCs w:val="20"/>
                <w:u w:val="none"/>
                <w:lang w:val="en-US" w:eastAsia="zh-CN" w:bidi="ar-SA"/>
              </w:rPr>
              <w:t>所在单位申请新办、补办评定残疾等级，所在单位审核后报县级退役军人工作主管部门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68387F8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2.县</w:t>
            </w:r>
            <w:r>
              <w:rPr>
                <w:rFonts w:hint="eastAsia" w:ascii="Times New Roman" w:hAnsi="Times New Roman" w:eastAsia="方正仿宋简体" w:cs="Times New Roman"/>
                <w:b w:val="0"/>
                <w:bCs w:val="0"/>
                <w:color w:val="auto"/>
                <w:spacing w:val="0"/>
                <w:kern w:val="2"/>
                <w:sz w:val="20"/>
                <w:szCs w:val="20"/>
                <w:u w:val="none"/>
                <w:lang w:val="en-US" w:eastAsia="zh-CN" w:bidi="ar-SA"/>
              </w:rPr>
              <w:t>、市、省</w:t>
            </w:r>
            <w:r>
              <w:rPr>
                <w:rFonts w:hint="default" w:ascii="Times New Roman" w:hAnsi="Times New Roman" w:eastAsia="方正仿宋简体" w:cs="Times New Roman"/>
                <w:b w:val="0"/>
                <w:bCs w:val="0"/>
                <w:color w:val="auto"/>
                <w:spacing w:val="0"/>
                <w:kern w:val="2"/>
                <w:sz w:val="20"/>
                <w:szCs w:val="20"/>
                <w:u w:val="none"/>
                <w:lang w:val="en-US" w:eastAsia="zh-CN" w:bidi="ar-SA"/>
              </w:rPr>
              <w:t>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退役军人工作主管部门逐级</w:t>
            </w:r>
            <w:r>
              <w:rPr>
                <w:rFonts w:hint="default" w:ascii="Times New Roman" w:hAnsi="Times New Roman" w:eastAsia="方正仿宋简体" w:cs="Times New Roman"/>
                <w:b w:val="0"/>
                <w:bCs w:val="0"/>
                <w:color w:val="auto"/>
                <w:spacing w:val="0"/>
                <w:kern w:val="2"/>
                <w:sz w:val="20"/>
                <w:szCs w:val="20"/>
                <w:u w:val="none"/>
                <w:lang w:val="en-US" w:eastAsia="zh-CN" w:bidi="ar-SA"/>
              </w:rPr>
              <w:t>审核；</w:t>
            </w:r>
          </w:p>
          <w:p w14:paraId="1599A68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3.县级财政部门审核、拨付资金；</w:t>
            </w:r>
          </w:p>
          <w:p w14:paraId="28633E6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4.代发金融机构将资金发放到个人指定账户。</w:t>
            </w:r>
          </w:p>
          <w:p w14:paraId="4666F10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81" w:type="dxa"/>
            <w:vAlign w:val="center"/>
          </w:tcPr>
          <w:p w14:paraId="6A5AF88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新办、补办伤残人员从被评定残疾等级的当月起发放。</w:t>
            </w:r>
          </w:p>
          <w:p w14:paraId="410D27B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伤残人员抚恤关系转入我区的，从下一年起发放。</w:t>
            </w:r>
          </w:p>
        </w:tc>
        <w:tc>
          <w:tcPr>
            <w:tcW w:w="1596" w:type="dxa"/>
            <w:vAlign w:val="center"/>
          </w:tcPr>
          <w:p w14:paraId="285F24E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伤残证件复印件；</w:t>
            </w:r>
          </w:p>
          <w:p w14:paraId="74A3188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2.居民户口簿复印件；</w:t>
            </w:r>
          </w:p>
          <w:p w14:paraId="63A02B2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3.经申请人确认的</w:t>
            </w:r>
            <w:r>
              <w:rPr>
                <w:rFonts w:hint="default" w:ascii="Times New Roman" w:hAnsi="Times New Roman" w:eastAsia="方正仿宋简体" w:cs="Times New Roman"/>
                <w:b w:val="0"/>
                <w:bCs w:val="0"/>
                <w:color w:val="auto"/>
                <w:spacing w:val="0"/>
                <w:kern w:val="2"/>
                <w:sz w:val="20"/>
                <w:szCs w:val="20"/>
                <w:u w:val="none"/>
                <w:lang w:val="en-US" w:eastAsia="zh-CN" w:bidi="ar-SA"/>
              </w:rPr>
              <w:t>银行卡</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存折账户</w:t>
            </w:r>
            <w:r>
              <w:rPr>
                <w:rFonts w:hint="eastAsia" w:ascii="Times New Roman" w:hAnsi="Times New Roman" w:eastAsia="方正仿宋简体" w:cs="Times New Roman"/>
                <w:b w:val="0"/>
                <w:bCs w:val="0"/>
                <w:color w:val="auto"/>
                <w:spacing w:val="0"/>
                <w:kern w:val="2"/>
                <w:sz w:val="20"/>
                <w:szCs w:val="20"/>
                <w:u w:val="none"/>
                <w:lang w:val="en-US" w:eastAsia="zh-CN" w:bidi="ar-SA"/>
              </w:rPr>
              <w:t>等合法银行账户</w:t>
            </w:r>
            <w:r>
              <w:rPr>
                <w:rFonts w:hint="default" w:ascii="Times New Roman" w:hAnsi="Times New Roman" w:eastAsia="方正仿宋简体" w:cs="Times New Roman"/>
                <w:b w:val="0"/>
                <w:bCs w:val="0"/>
                <w:color w:val="auto"/>
                <w:spacing w:val="0"/>
                <w:kern w:val="2"/>
                <w:sz w:val="20"/>
                <w:szCs w:val="20"/>
                <w:u w:val="none"/>
                <w:lang w:val="en-US" w:eastAsia="zh-CN" w:bidi="ar-SA"/>
              </w:rPr>
              <w:t>信息。</w:t>
            </w:r>
          </w:p>
          <w:p w14:paraId="655CD5C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r>
      <w:tr w14:paraId="582A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8" w:hRule="atLeast"/>
        </w:trPr>
        <w:tc>
          <w:tcPr>
            <w:tcW w:w="668" w:type="dxa"/>
            <w:vAlign w:val="center"/>
          </w:tcPr>
          <w:p w14:paraId="75F2712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18</w:t>
            </w:r>
          </w:p>
        </w:tc>
        <w:tc>
          <w:tcPr>
            <w:tcW w:w="791" w:type="dxa"/>
            <w:vAlign w:val="center"/>
          </w:tcPr>
          <w:p w14:paraId="67F4EF2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优抚对象医疗保障</w:t>
            </w:r>
          </w:p>
        </w:tc>
        <w:tc>
          <w:tcPr>
            <w:tcW w:w="709" w:type="dxa"/>
            <w:vAlign w:val="center"/>
          </w:tcPr>
          <w:p w14:paraId="72B90C6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行政给付</w:t>
            </w:r>
          </w:p>
        </w:tc>
        <w:tc>
          <w:tcPr>
            <w:tcW w:w="4446" w:type="dxa"/>
            <w:vAlign w:val="center"/>
          </w:tcPr>
          <w:p w14:paraId="1A6FB4E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军人抚恤优待</w:t>
            </w:r>
            <w:r>
              <w:rPr>
                <w:rFonts w:hint="default" w:ascii="Times New Roman" w:hAnsi="Times New Roman" w:eastAsia="方正仿宋简体" w:cs="Times New Roman"/>
                <w:b w:val="0"/>
                <w:bCs w:val="0"/>
                <w:color w:val="auto"/>
                <w:spacing w:val="0"/>
                <w:kern w:val="2"/>
                <w:sz w:val="20"/>
                <w:szCs w:val="20"/>
                <w:u w:val="none"/>
                <w:lang w:val="en-US" w:eastAsia="zh-CN" w:bidi="ar-SA"/>
              </w:rPr>
              <w:t>条例》第</w:t>
            </w:r>
            <w:r>
              <w:rPr>
                <w:rFonts w:hint="eastAsia" w:ascii="Times New Roman" w:hAnsi="Times New Roman" w:eastAsia="方正仿宋简体" w:cs="Times New Roman"/>
                <w:b w:val="0"/>
                <w:bCs w:val="0"/>
                <w:color w:val="auto"/>
                <w:spacing w:val="0"/>
                <w:kern w:val="2"/>
                <w:sz w:val="20"/>
                <w:szCs w:val="20"/>
                <w:u w:val="none"/>
                <w:lang w:val="en-US" w:eastAsia="zh-CN" w:bidi="ar-SA"/>
              </w:rPr>
              <w:t>四</w:t>
            </w:r>
            <w:r>
              <w:rPr>
                <w:rFonts w:hint="default" w:ascii="Times New Roman" w:hAnsi="Times New Roman" w:eastAsia="方正仿宋简体" w:cs="Times New Roman"/>
                <w:b w:val="0"/>
                <w:bCs w:val="0"/>
                <w:color w:val="auto"/>
                <w:spacing w:val="0"/>
                <w:kern w:val="2"/>
                <w:sz w:val="20"/>
                <w:szCs w:val="20"/>
                <w:u w:val="none"/>
                <w:lang w:val="en-US" w:eastAsia="zh-CN" w:bidi="ar-SA"/>
              </w:rPr>
              <w:t>十</w:t>
            </w:r>
            <w:r>
              <w:rPr>
                <w:rFonts w:hint="eastAsia" w:ascii="Times New Roman" w:hAnsi="Times New Roman" w:eastAsia="方正仿宋简体" w:cs="Times New Roman"/>
                <w:b w:val="0"/>
                <w:bCs w:val="0"/>
                <w:color w:val="auto"/>
                <w:spacing w:val="0"/>
                <w:kern w:val="2"/>
                <w:sz w:val="20"/>
                <w:szCs w:val="20"/>
                <w:u w:val="none"/>
                <w:lang w:val="en-US" w:eastAsia="zh-CN" w:bidi="ar-SA"/>
              </w:rPr>
              <w:t>四</w:t>
            </w:r>
            <w:r>
              <w:rPr>
                <w:rFonts w:hint="default" w:ascii="Times New Roman" w:hAnsi="Times New Roman" w:eastAsia="方正仿宋简体" w:cs="Times New Roman"/>
                <w:b w:val="0"/>
                <w:bCs w:val="0"/>
                <w:color w:val="auto"/>
                <w:spacing w:val="0"/>
                <w:kern w:val="2"/>
                <w:sz w:val="20"/>
                <w:szCs w:val="20"/>
                <w:u w:val="none"/>
                <w:lang w:val="en-US" w:eastAsia="zh-CN" w:bidi="ar-SA"/>
              </w:rPr>
              <w:t xml:space="preserve">条 </w:t>
            </w:r>
            <w:r>
              <w:rPr>
                <w:rFonts w:hint="eastAsia" w:ascii="Times New Roman" w:hAnsi="Times New Roman" w:eastAsia="方正仿宋简体" w:cs="Times New Roman"/>
                <w:b w:val="0"/>
                <w:bCs w:val="0"/>
                <w:color w:val="auto"/>
                <w:spacing w:val="0"/>
                <w:kern w:val="2"/>
                <w:sz w:val="20"/>
                <w:szCs w:val="20"/>
                <w:u w:val="none"/>
                <w:lang w:val="en-US" w:eastAsia="zh-CN" w:bidi="ar-SA"/>
              </w:rPr>
              <w:t>国家对一级至六级残疾军人的医疗费用按照规定予以保障，其中参加工伤保险的一级至六级残疾军人旧伤复发的医疗费用，由工伤保险基金支付。</w:t>
            </w:r>
          </w:p>
          <w:p w14:paraId="2D791E9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七级至十级残疾军人旧伤复发的医疗费用，已经参加工伤保险的，由工伤保险基金支付；未参加工伤保险，有工作单位的由工作单位解决，没有工作单位的由当地县级以上地方人民政府负责解决。七级至十级残疾军人旧伤复发以外的医疗费用，未参加医疗保险且本人支付有困难的，由当地县级以上地方人民政府酌情给予补助。</w:t>
            </w:r>
          </w:p>
          <w:p w14:paraId="46128E9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抚恤优待对象在军队医疗卫生机构和政府举办的医疗卫生机构按照规定享受优待服务，国家鼓励社会力量举办的医疗卫生机构为抚恤优待对象就医提供优待服务。参战退役军人、残疾军人按照规定享受医疗优惠。</w:t>
            </w:r>
          </w:p>
          <w:p w14:paraId="34F8BC3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抚恤优待对象享受医疗优待和优惠的具体办法由国务院退役军人工作主管部门和中央军事委员会后勤保障部会同国务院财政、卫生健康、医疗保障等部门规定。</w:t>
            </w:r>
          </w:p>
          <w:p w14:paraId="1F0F96A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中央财政对地方给予适当补助，用于帮助解决抚恤优待对象的医疗费用困难问题。</w:t>
            </w:r>
          </w:p>
          <w:p w14:paraId="349D51B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2.</w:t>
            </w: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关于加强军人军属、退役军人和其他优待对象优待工作的意见</w:t>
            </w:r>
            <w:r>
              <w:rPr>
                <w:rFonts w:hint="default" w:ascii="Times New Roman" w:hAnsi="Times New Roman" w:eastAsia="方正仿宋简体" w:cs="Times New Roman"/>
                <w:b w:val="0"/>
                <w:bCs w:val="0"/>
                <w:color w:val="auto"/>
                <w:spacing w:val="0"/>
                <w:kern w:val="2"/>
                <w:sz w:val="20"/>
                <w:szCs w:val="20"/>
                <w:u w:val="none"/>
                <w:lang w:val="en-US" w:eastAsia="zh-CN" w:bidi="ar-SA"/>
              </w:rPr>
              <w:t>》第</w:t>
            </w:r>
            <w:r>
              <w:rPr>
                <w:rFonts w:hint="eastAsia" w:ascii="Times New Roman" w:hAnsi="Times New Roman" w:eastAsia="方正仿宋简体" w:cs="Times New Roman"/>
                <w:b w:val="0"/>
                <w:bCs w:val="0"/>
                <w:color w:val="auto"/>
                <w:spacing w:val="0"/>
                <w:kern w:val="2"/>
                <w:sz w:val="20"/>
                <w:szCs w:val="20"/>
                <w:u w:val="none"/>
                <w:lang w:val="en-US" w:eastAsia="zh-CN" w:bidi="ar-SA"/>
              </w:rPr>
              <w:t>二</w:t>
            </w:r>
            <w:r>
              <w:rPr>
                <w:rFonts w:hint="default" w:ascii="Times New Roman" w:hAnsi="Times New Roman" w:eastAsia="方正仿宋简体" w:cs="Times New Roman"/>
                <w:b w:val="0"/>
                <w:bCs w:val="0"/>
                <w:color w:val="auto"/>
                <w:spacing w:val="0"/>
                <w:kern w:val="2"/>
                <w:sz w:val="20"/>
                <w:szCs w:val="20"/>
                <w:u w:val="none"/>
                <w:lang w:val="en-US" w:eastAsia="zh-CN" w:bidi="ar-SA"/>
              </w:rPr>
              <w:t>条</w:t>
            </w:r>
            <w:r>
              <w:rPr>
                <w:rFonts w:hint="eastAsia" w:ascii="Times New Roman" w:hAnsi="Times New Roman" w:eastAsia="方正仿宋简体" w:cs="Times New Roman"/>
                <w:b w:val="0"/>
                <w:bCs w:val="0"/>
                <w:color w:val="auto"/>
                <w:spacing w:val="0"/>
                <w:kern w:val="2"/>
                <w:sz w:val="20"/>
                <w:szCs w:val="20"/>
                <w:u w:val="none"/>
                <w:lang w:val="en-US" w:eastAsia="zh-CN" w:bidi="ar-SA"/>
              </w:rPr>
              <w:t>规范优待内容的第六 在医疗方面，各地按照保证质量、方便就医的原则，明确本地区医疗优待定点服务机构，为残疾军人，烈属、因公牺牲军人遗属、病故军人遗属（以下简称“三属”），现役军人家属、老复员军人、参战参试退役军人、带病回乡退伍军人开通优先窗口，提供普通门诊优先挂号、取药、缴费、检查、住院服务。各级各类地方医疗机构优先为伤病残、老龄优抚对象提供家庭医生签约和健康教育、慢性病管理等基本公共卫生服务。组织优抚医院为残疾军人、“三属”、现役军人家属、老复员军人、参战参试退役军人、带病回乡退伍军人优惠体检，提供免收普通门诊挂号费和优先就诊、检查、住院等服务。</w:t>
            </w:r>
          </w:p>
          <w:p w14:paraId="08F8258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w:t>
            </w:r>
            <w:r>
              <w:rPr>
                <w:rFonts w:hint="eastAsia" w:ascii="Times New Roman" w:hAnsi="Times New Roman" w:eastAsia="方正仿宋简体" w:cs="Times New Roman"/>
                <w:b w:val="0"/>
                <w:bCs w:val="0"/>
                <w:color w:val="auto"/>
                <w:spacing w:val="0"/>
                <w:kern w:val="2"/>
                <w:sz w:val="20"/>
                <w:szCs w:val="20"/>
                <w:u w:val="none"/>
                <w:lang w:val="en-US" w:eastAsia="zh-CN" w:bidi="ar-SA"/>
              </w:rPr>
              <w:t>优抚对象医疗保障办法</w:t>
            </w:r>
            <w:r>
              <w:rPr>
                <w:rFonts w:hint="default" w:ascii="Times New Roman" w:hAnsi="Times New Roman" w:eastAsia="方正仿宋简体" w:cs="Times New Roman"/>
                <w:b w:val="0"/>
                <w:bCs w:val="0"/>
                <w:color w:val="auto"/>
                <w:spacing w:val="0"/>
                <w:kern w:val="2"/>
                <w:sz w:val="20"/>
                <w:szCs w:val="20"/>
                <w:u w:val="none"/>
                <w:lang w:val="en-US" w:eastAsia="zh-CN" w:bidi="ar-SA"/>
              </w:rPr>
              <w:t>》</w:t>
            </w:r>
            <w:r>
              <w:rPr>
                <w:rFonts w:hint="eastAsia" w:ascii="Times New Roman" w:hAnsi="Times New Roman" w:eastAsia="方正仿宋简体" w:cs="Times New Roman"/>
                <w:b w:val="0"/>
                <w:bCs w:val="0"/>
                <w:color w:val="auto"/>
                <w:spacing w:val="0"/>
                <w:kern w:val="2"/>
                <w:sz w:val="20"/>
                <w:szCs w:val="20"/>
                <w:u w:val="none"/>
                <w:lang w:val="en-US" w:eastAsia="zh-CN" w:bidi="ar-SA"/>
              </w:rPr>
              <w:t>第四条 优抚对象按照属地原则相应参加职工基本医疗保险、城乡居民基本医疗保险等，享受国家基本医疗保障。各地要进一步健全完善优抚对象医疗补助制度，保障水平应与当地经济发展水平和财政承受能力相适应，保证优抚对象现有医疗待遇不降低。优抚对象就医按规定享受优惠和照顾。</w:t>
            </w:r>
          </w:p>
          <w:p w14:paraId="1CAA64A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4.《残疾退役军人医疗保障办法》第五条  残疾退役军人在按规定享受基本医疗保障待遇的基础上，享受优抚对象医疗补助。各地要进一步健全完善优抚对象医疗补助制度，保障水平应当与各地经济发展水平和财政承受能力相适应，保证残疾退役军人现有医疗待遇不降低。</w:t>
            </w:r>
          </w:p>
        </w:tc>
        <w:tc>
          <w:tcPr>
            <w:tcW w:w="1841" w:type="dxa"/>
            <w:vAlign w:val="center"/>
          </w:tcPr>
          <w:p w14:paraId="3A556B5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10D525F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西藏籍优抚对象</w:t>
            </w:r>
          </w:p>
          <w:p w14:paraId="2ADC943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2332" w:type="dxa"/>
            <w:vAlign w:val="center"/>
          </w:tcPr>
          <w:p w14:paraId="2A70D9E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p>
          <w:p w14:paraId="6895676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w:t>
            </w:r>
            <w:r>
              <w:rPr>
                <w:rFonts w:hint="eastAsia" w:ascii="Times New Roman" w:hAnsi="Times New Roman" w:eastAsia="方正仿宋简体" w:cs="Times New Roman"/>
                <w:b w:val="0"/>
                <w:bCs w:val="0"/>
                <w:color w:val="auto"/>
                <w:spacing w:val="0"/>
                <w:kern w:val="2"/>
                <w:sz w:val="20"/>
                <w:szCs w:val="20"/>
                <w:u w:val="none"/>
                <w:lang w:val="en-US" w:eastAsia="zh-CN" w:bidi="ar-SA"/>
              </w:rPr>
              <w:t>优抚对象</w:t>
            </w:r>
            <w:r>
              <w:rPr>
                <w:rFonts w:hint="default" w:ascii="Times New Roman" w:hAnsi="Times New Roman" w:eastAsia="方正仿宋简体" w:cs="Times New Roman"/>
                <w:b w:val="0"/>
                <w:bCs w:val="0"/>
                <w:color w:val="auto"/>
                <w:spacing w:val="0"/>
                <w:kern w:val="2"/>
                <w:sz w:val="20"/>
                <w:szCs w:val="20"/>
                <w:u w:val="none"/>
                <w:lang w:val="en-US" w:eastAsia="zh-CN" w:bidi="ar-SA"/>
              </w:rPr>
              <w:t>提出</w:t>
            </w:r>
            <w:r>
              <w:rPr>
                <w:rFonts w:hint="eastAsia" w:ascii="Times New Roman" w:hAnsi="Times New Roman" w:eastAsia="方正仿宋简体" w:cs="Times New Roman"/>
                <w:b w:val="0"/>
                <w:bCs w:val="0"/>
                <w:color w:val="auto"/>
                <w:spacing w:val="0"/>
                <w:kern w:val="2"/>
                <w:sz w:val="20"/>
                <w:szCs w:val="20"/>
                <w:u w:val="none"/>
                <w:lang w:val="en-US" w:eastAsia="zh-CN" w:bidi="ar-SA"/>
              </w:rPr>
              <w:t>就医</w:t>
            </w:r>
            <w:r>
              <w:rPr>
                <w:rFonts w:hint="default" w:ascii="Times New Roman" w:hAnsi="Times New Roman" w:eastAsia="方正仿宋简体" w:cs="Times New Roman"/>
                <w:b w:val="0"/>
                <w:bCs w:val="0"/>
                <w:color w:val="auto"/>
                <w:spacing w:val="0"/>
                <w:kern w:val="2"/>
                <w:sz w:val="20"/>
                <w:szCs w:val="20"/>
                <w:u w:val="none"/>
                <w:lang w:val="en-US" w:eastAsia="zh-CN" w:bidi="ar-SA"/>
              </w:rPr>
              <w:t>申请；</w:t>
            </w:r>
          </w:p>
          <w:p w14:paraId="769BD58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2.县级</w:t>
            </w:r>
            <w:r>
              <w:rPr>
                <w:rFonts w:hint="eastAsia" w:ascii="Times New Roman" w:hAnsi="Times New Roman" w:eastAsia="方正仿宋简体" w:cs="Times New Roman"/>
                <w:b w:val="0"/>
                <w:bCs w:val="0"/>
                <w:color w:val="auto"/>
                <w:spacing w:val="0"/>
                <w:kern w:val="2"/>
                <w:sz w:val="20"/>
                <w:szCs w:val="20"/>
                <w:u w:val="none"/>
                <w:lang w:val="en-US" w:eastAsia="zh-CN" w:bidi="ar-SA"/>
              </w:rPr>
              <w:t>退役军人工作主管部门</w:t>
            </w:r>
            <w:r>
              <w:rPr>
                <w:rFonts w:hint="default" w:ascii="Times New Roman" w:hAnsi="Times New Roman" w:eastAsia="方正仿宋简体" w:cs="Times New Roman"/>
                <w:b w:val="0"/>
                <w:bCs w:val="0"/>
                <w:color w:val="auto"/>
                <w:spacing w:val="0"/>
                <w:kern w:val="2"/>
                <w:sz w:val="20"/>
                <w:szCs w:val="20"/>
                <w:u w:val="none"/>
                <w:lang w:val="en-US" w:eastAsia="zh-CN" w:bidi="ar-SA"/>
              </w:rPr>
              <w:t>审核；</w:t>
            </w:r>
          </w:p>
          <w:p w14:paraId="6504B45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3.县级财政部门审核、拨付资金；</w:t>
            </w:r>
          </w:p>
          <w:p w14:paraId="2EE41CA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4.代发金融机构将资金发放到个人指定账户。</w:t>
            </w:r>
          </w:p>
          <w:p w14:paraId="088A699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81" w:type="dxa"/>
            <w:vAlign w:val="center"/>
          </w:tcPr>
          <w:p w14:paraId="08470DD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eastAsia" w:ascii="Times New Roman" w:hAnsi="Times New Roman" w:eastAsia="方正仿宋简体" w:cs="Times New Roman"/>
                <w:b w:val="0"/>
                <w:bCs w:val="0"/>
                <w:color w:val="auto"/>
                <w:spacing w:val="0"/>
                <w:kern w:val="2"/>
                <w:sz w:val="20"/>
                <w:szCs w:val="20"/>
                <w:u w:val="none"/>
                <w:lang w:val="en-US" w:eastAsia="zh-CN" w:bidi="ar-SA"/>
              </w:rPr>
              <w:t>财政部门资金拨付</w:t>
            </w:r>
            <w:r>
              <w:rPr>
                <w:rFonts w:hint="default" w:ascii="Times New Roman" w:hAnsi="Times New Roman" w:eastAsia="方正仿宋简体" w:cs="Times New Roman"/>
                <w:b w:val="0"/>
                <w:bCs w:val="0"/>
                <w:color w:val="auto"/>
                <w:spacing w:val="0"/>
                <w:kern w:val="2"/>
                <w:sz w:val="20"/>
                <w:szCs w:val="20"/>
                <w:u w:val="none"/>
                <w:lang w:val="en-US" w:eastAsia="zh-CN" w:bidi="ar-SA"/>
              </w:rPr>
              <w:t>之日起60个工作日内发放。</w:t>
            </w:r>
          </w:p>
          <w:p w14:paraId="4BBD2F3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c>
          <w:tcPr>
            <w:tcW w:w="1596" w:type="dxa"/>
            <w:vAlign w:val="center"/>
          </w:tcPr>
          <w:p w14:paraId="1C2C6B2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1.申请书；</w:t>
            </w:r>
          </w:p>
          <w:p w14:paraId="52EF8A4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2.</w:t>
            </w:r>
            <w:r>
              <w:rPr>
                <w:rFonts w:hint="eastAsia" w:ascii="Times New Roman" w:hAnsi="Times New Roman" w:eastAsia="方正仿宋简体" w:cs="Times New Roman"/>
                <w:b w:val="0"/>
                <w:bCs w:val="0"/>
                <w:color w:val="auto"/>
                <w:spacing w:val="0"/>
                <w:kern w:val="2"/>
                <w:sz w:val="20"/>
                <w:szCs w:val="20"/>
                <w:u w:val="none"/>
                <w:lang w:val="en-US" w:eastAsia="zh-CN" w:bidi="ar-SA"/>
              </w:rPr>
              <w:t>就医相关证明材料</w:t>
            </w:r>
            <w:r>
              <w:rPr>
                <w:rFonts w:hint="default" w:ascii="Times New Roman" w:hAnsi="Times New Roman" w:eastAsia="方正仿宋简体" w:cs="Times New Roman"/>
                <w:b w:val="0"/>
                <w:bCs w:val="0"/>
                <w:color w:val="auto"/>
                <w:spacing w:val="0"/>
                <w:kern w:val="2"/>
                <w:sz w:val="20"/>
                <w:szCs w:val="20"/>
                <w:u w:val="none"/>
                <w:lang w:val="en-US" w:eastAsia="zh-CN" w:bidi="ar-SA"/>
              </w:rPr>
              <w:t>；</w:t>
            </w:r>
          </w:p>
          <w:p w14:paraId="307D9BE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方正仿宋简体" w:cs="Times New Roman"/>
                <w:b w:val="0"/>
                <w:bCs w:val="0"/>
                <w:color w:val="auto"/>
                <w:spacing w:val="0"/>
                <w:kern w:val="2"/>
                <w:sz w:val="20"/>
                <w:szCs w:val="20"/>
                <w:u w:val="none"/>
                <w:lang w:val="en-US" w:eastAsia="zh-CN" w:bidi="ar-SA"/>
              </w:rPr>
            </w:pPr>
            <w:r>
              <w:rPr>
                <w:rFonts w:hint="default" w:ascii="Times New Roman" w:hAnsi="Times New Roman" w:eastAsia="方正仿宋简体" w:cs="Times New Roman"/>
                <w:b w:val="0"/>
                <w:bCs w:val="0"/>
                <w:color w:val="auto"/>
                <w:spacing w:val="0"/>
                <w:kern w:val="2"/>
                <w:sz w:val="20"/>
                <w:szCs w:val="20"/>
                <w:u w:val="none"/>
                <w:lang w:val="en-US" w:eastAsia="zh-CN" w:bidi="ar-SA"/>
              </w:rPr>
              <w:t>3.</w:t>
            </w:r>
            <w:r>
              <w:rPr>
                <w:rFonts w:hint="eastAsia" w:ascii="Times New Roman" w:hAnsi="Times New Roman" w:eastAsia="方正仿宋简体" w:cs="Times New Roman"/>
                <w:b w:val="0"/>
                <w:bCs w:val="0"/>
                <w:color w:val="auto"/>
                <w:spacing w:val="0"/>
                <w:kern w:val="2"/>
                <w:sz w:val="20"/>
                <w:szCs w:val="20"/>
                <w:u w:val="none"/>
                <w:lang w:val="en-US" w:eastAsia="zh-CN" w:bidi="ar-SA"/>
              </w:rPr>
              <w:t>经申请人确认的</w:t>
            </w:r>
            <w:r>
              <w:rPr>
                <w:rFonts w:hint="default" w:ascii="Times New Roman" w:hAnsi="Times New Roman" w:eastAsia="方正仿宋简体" w:cs="Times New Roman"/>
                <w:b w:val="0"/>
                <w:bCs w:val="0"/>
                <w:color w:val="auto"/>
                <w:spacing w:val="0"/>
                <w:kern w:val="2"/>
                <w:sz w:val="20"/>
                <w:szCs w:val="20"/>
                <w:u w:val="none"/>
                <w:lang w:val="en-US" w:eastAsia="zh-CN" w:bidi="ar-SA"/>
              </w:rPr>
              <w:t>银行卡</w:t>
            </w:r>
            <w:r>
              <w:rPr>
                <w:rFonts w:hint="eastAsia" w:ascii="Times New Roman" w:hAnsi="Times New Roman" w:eastAsia="方正仿宋简体" w:cs="Times New Roman"/>
                <w:b w:val="0"/>
                <w:bCs w:val="0"/>
                <w:color w:val="auto"/>
                <w:spacing w:val="0"/>
                <w:kern w:val="2"/>
                <w:sz w:val="20"/>
                <w:szCs w:val="20"/>
                <w:u w:val="none"/>
                <w:lang w:val="en-US" w:eastAsia="zh-CN" w:bidi="ar-SA"/>
              </w:rPr>
              <w:t>、</w:t>
            </w:r>
            <w:r>
              <w:rPr>
                <w:rFonts w:hint="default" w:ascii="Times New Roman" w:hAnsi="Times New Roman" w:eastAsia="方正仿宋简体" w:cs="Times New Roman"/>
                <w:b w:val="0"/>
                <w:bCs w:val="0"/>
                <w:color w:val="auto"/>
                <w:spacing w:val="0"/>
                <w:kern w:val="2"/>
                <w:sz w:val="20"/>
                <w:szCs w:val="20"/>
                <w:u w:val="none"/>
                <w:lang w:val="en-US" w:eastAsia="zh-CN" w:bidi="ar-SA"/>
              </w:rPr>
              <w:t>存折账户</w:t>
            </w:r>
            <w:r>
              <w:rPr>
                <w:rFonts w:hint="eastAsia" w:ascii="Times New Roman" w:hAnsi="Times New Roman" w:eastAsia="方正仿宋简体" w:cs="Times New Roman"/>
                <w:b w:val="0"/>
                <w:bCs w:val="0"/>
                <w:color w:val="auto"/>
                <w:spacing w:val="0"/>
                <w:kern w:val="2"/>
                <w:sz w:val="20"/>
                <w:szCs w:val="20"/>
                <w:u w:val="none"/>
                <w:lang w:val="en-US" w:eastAsia="zh-CN" w:bidi="ar-SA"/>
              </w:rPr>
              <w:t>等合法银行账户</w:t>
            </w:r>
            <w:r>
              <w:rPr>
                <w:rFonts w:hint="default" w:ascii="Times New Roman" w:hAnsi="Times New Roman" w:eastAsia="方正仿宋简体" w:cs="Times New Roman"/>
                <w:b w:val="0"/>
                <w:bCs w:val="0"/>
                <w:color w:val="auto"/>
                <w:spacing w:val="0"/>
                <w:kern w:val="2"/>
                <w:sz w:val="20"/>
                <w:szCs w:val="20"/>
                <w:u w:val="none"/>
                <w:lang w:val="en-US" w:eastAsia="zh-CN" w:bidi="ar-SA"/>
              </w:rPr>
              <w:t>信息。</w:t>
            </w:r>
          </w:p>
          <w:p w14:paraId="5CBEEBB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Times New Roman" w:hAnsi="Times New Roman" w:eastAsia="方正仿宋简体" w:cs="Times New Roman"/>
                <w:b w:val="0"/>
                <w:bCs w:val="0"/>
                <w:color w:val="auto"/>
                <w:spacing w:val="0"/>
                <w:kern w:val="2"/>
                <w:sz w:val="20"/>
                <w:szCs w:val="20"/>
                <w:u w:val="none"/>
                <w:lang w:val="en-US" w:eastAsia="zh-CN" w:bidi="ar-SA"/>
              </w:rPr>
            </w:pPr>
          </w:p>
        </w:tc>
      </w:tr>
    </w:tbl>
    <w:p w14:paraId="4B970CF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eastAsia" w:ascii="方正黑体简体" w:hAnsi="方正黑体简体" w:eastAsia="方正黑体简体" w:cs="方正黑体简体"/>
          <w:b w:val="0"/>
          <w:bCs w:val="0"/>
          <w:color w:val="auto"/>
          <w:spacing w:val="0"/>
          <w:kern w:val="2"/>
          <w:sz w:val="32"/>
          <w:szCs w:val="32"/>
          <w:u w:val="none"/>
          <w:lang w:val="en-US" w:eastAsia="zh-CN" w:bidi="ar-SA"/>
        </w:rPr>
        <w:sectPr>
          <w:pgSz w:w="16838" w:h="11906" w:orient="landscape"/>
          <w:pgMar w:top="1587" w:right="1984" w:bottom="1587" w:left="1587" w:header="851" w:footer="992" w:gutter="0"/>
          <w:pgNumType w:fmt="numberInDash"/>
          <w:cols w:space="425" w:num="1"/>
          <w:rtlGutter w:val="0"/>
          <w:docGrid w:type="lines" w:linePitch="312" w:charSpace="0"/>
        </w:sectPr>
      </w:pPr>
    </w:p>
    <w:p w14:paraId="0AD36EB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黑体简体" w:cs="Times New Roman"/>
          <w:b w:val="0"/>
          <w:bCs w:val="0"/>
          <w:color w:val="auto"/>
          <w:spacing w:val="0"/>
          <w:kern w:val="2"/>
          <w:sz w:val="32"/>
          <w:szCs w:val="32"/>
          <w:u w:val="none"/>
          <w:lang w:val="en-US" w:eastAsia="zh-CN" w:bidi="ar-SA"/>
        </w:rPr>
      </w:pPr>
      <w:r>
        <w:rPr>
          <w:rFonts w:hint="default" w:ascii="Times New Roman" w:hAnsi="Times New Roman" w:eastAsia="国标黑体-GB/T 2312" w:cs="Times New Roman"/>
          <w:color w:val="auto"/>
          <w:spacing w:val="0"/>
          <w:sz w:val="32"/>
          <w:szCs w:val="32"/>
          <w:u w:val="none"/>
          <w:lang w:eastAsia="zh-CN"/>
        </w:rPr>
        <w:t>三、</w:t>
      </w:r>
      <w:r>
        <w:rPr>
          <w:rFonts w:hint="default" w:ascii="Times New Roman" w:hAnsi="Times New Roman" w:eastAsia="国标黑体-GB/T 2312" w:cs="Times New Roman"/>
          <w:color w:val="auto"/>
          <w:spacing w:val="0"/>
          <w:sz w:val="32"/>
          <w:szCs w:val="32"/>
          <w:u w:val="none"/>
        </w:rPr>
        <w:t>行政检查细化量化规定</w:t>
      </w:r>
    </w:p>
    <w:p w14:paraId="1E3EE51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楷体-GB/T 2312" w:cs="Times New Roman"/>
          <w:b w:val="0"/>
          <w:bCs w:val="0"/>
          <w:color w:val="auto"/>
          <w:spacing w:val="0"/>
          <w:sz w:val="32"/>
          <w:szCs w:val="32"/>
          <w:u w:val="none"/>
          <w:lang w:eastAsia="zh-CN"/>
        </w:rPr>
      </w:pPr>
      <w:r>
        <w:rPr>
          <w:rFonts w:hint="default" w:ascii="Times New Roman" w:hAnsi="Times New Roman" w:eastAsia="国标楷体-GB/T 2312" w:cs="Times New Roman"/>
          <w:b w:val="0"/>
          <w:bCs w:val="0"/>
          <w:color w:val="auto"/>
          <w:spacing w:val="0"/>
          <w:sz w:val="32"/>
          <w:szCs w:val="32"/>
          <w:u w:val="none"/>
          <w:lang w:eastAsia="zh-CN"/>
        </w:rPr>
        <w:t>（十九）</w:t>
      </w:r>
      <w:r>
        <w:rPr>
          <w:rFonts w:hint="default" w:ascii="Times New Roman" w:hAnsi="Times New Roman" w:eastAsia="国标楷体-GB/T 2312" w:cs="Times New Roman"/>
          <w:b w:val="0"/>
          <w:bCs w:val="0"/>
          <w:color w:val="auto"/>
          <w:spacing w:val="0"/>
          <w:sz w:val="32"/>
          <w:szCs w:val="32"/>
          <w:u w:val="none"/>
        </w:rPr>
        <w:t>监督检查退役军人保障相关法律法规和政策措施落实情况</w:t>
      </w:r>
      <w:r>
        <w:rPr>
          <w:rFonts w:hint="default" w:ascii="Times New Roman" w:hAnsi="Times New Roman" w:eastAsia="国标楷体-GB/T 2312" w:cs="Times New Roman"/>
          <w:b w:val="0"/>
          <w:bCs w:val="0"/>
          <w:color w:val="auto"/>
          <w:spacing w:val="0"/>
          <w:sz w:val="32"/>
          <w:szCs w:val="32"/>
          <w:u w:val="none"/>
          <w:lang w:eastAsia="zh-CN"/>
        </w:rPr>
        <w:t>。</w:t>
      </w:r>
    </w:p>
    <w:p w14:paraId="1BB3EB86">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b w:val="0"/>
          <w:bCs w:val="0"/>
          <w:color w:val="auto"/>
          <w:spacing w:val="0"/>
          <w:sz w:val="32"/>
          <w:szCs w:val="32"/>
          <w:u w:val="none"/>
          <w:lang w:eastAsia="zh-CN"/>
        </w:rPr>
        <w:t>行政检查。</w:t>
      </w:r>
    </w:p>
    <w:p w14:paraId="3E87265C">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法定依据：</w:t>
      </w:r>
    </w:p>
    <w:p w14:paraId="4B3672DF">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rPr>
      </w:pPr>
      <w:r>
        <w:rPr>
          <w:rFonts w:hint="default" w:ascii="Times New Roman" w:hAnsi="Times New Roman" w:eastAsia="国标仿宋-GB/T 2312" w:cs="Times New Roman"/>
          <w:color w:val="auto"/>
          <w:spacing w:val="0"/>
          <w:sz w:val="32"/>
          <w:szCs w:val="32"/>
          <w:u w:val="none"/>
        </w:rPr>
        <w:t>《退役军人保障法》第七十一条 县级以上人民政府退役军人工作主管部门应当依法指导、督促有关部门和单位做好退役安置、教育培训、就业创业、抚恤优待、褒扬激励、拥军优属等工作，监督检查退役军人保障相关法律法规和政策措施落实情况，推进解决退役军人保障工作中存在的问题。</w:t>
      </w:r>
    </w:p>
    <w:p w14:paraId="3EDFA38A">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eastAsia="zh-CN"/>
        </w:rPr>
        <w:t>《伤残抚恤管理办法》第二十七条</w:t>
      </w:r>
      <w:r>
        <w:rPr>
          <w:rFonts w:hint="default" w:ascii="Times New Roman" w:hAnsi="Times New Roman" w:eastAsia="国标仿宋-GB/T 2312" w:cs="Times New Roman"/>
          <w:color w:val="auto"/>
          <w:spacing w:val="0"/>
          <w:sz w:val="32"/>
          <w:szCs w:val="32"/>
          <w:u w:val="none"/>
          <w:lang w:val="en-US" w:eastAsia="zh-CN"/>
        </w:rPr>
        <w:t xml:space="preserve"> 退役军人工作主管部门及其工作人员、其他有关单位及其工作人员有下列行为之一的，由其上级主管部门责令改正；情节严重，构成犯罪的，依法追究刑事责任；尚不构成犯罪的，依法给予处分：（一）违反规定审批抚恤待遇的；（二）在审批抚恤待遇工作中出具虚假诊断、鉴定、证明的；（三）不按照规定的标准、数额、对象审批或者发放抚恤金的；（四）在伤残抚恤工作中利用职权谋取私利的；（五）虚报伤残人员数据申报抚恤金的；（六）有其他违法行为的。</w:t>
      </w:r>
    </w:p>
    <w:p w14:paraId="268AE4D7">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职责：</w:t>
      </w:r>
    </w:p>
    <w:p w14:paraId="2274068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rPr>
      </w:pPr>
      <w:r>
        <w:rPr>
          <w:rFonts w:hint="default" w:ascii="Times New Roman" w:hAnsi="Times New Roman" w:eastAsia="国标仿宋-GB/T 2312" w:cs="Times New Roman"/>
          <w:color w:val="auto"/>
          <w:spacing w:val="0"/>
          <w:sz w:val="32"/>
          <w:szCs w:val="32"/>
          <w:u w:val="none"/>
          <w:lang w:val="en-US" w:eastAsia="zh-CN"/>
        </w:rPr>
        <w:t>1.</w:t>
      </w:r>
      <w:r>
        <w:rPr>
          <w:rFonts w:hint="default" w:ascii="Times New Roman" w:hAnsi="Times New Roman" w:eastAsia="国标仿宋-GB/T 2312" w:cs="Times New Roman"/>
          <w:color w:val="auto"/>
          <w:spacing w:val="0"/>
          <w:sz w:val="32"/>
          <w:szCs w:val="32"/>
          <w:u w:val="none"/>
        </w:rPr>
        <w:t>监督检查与退役军人工作有关的部门是否切实履行了</w:t>
      </w:r>
      <w:r>
        <w:rPr>
          <w:rFonts w:hint="default" w:ascii="Times New Roman" w:hAnsi="Times New Roman" w:eastAsia="国标仿宋-GB/T 2312" w:cs="Times New Roman"/>
          <w:color w:val="auto"/>
          <w:spacing w:val="0"/>
          <w:sz w:val="32"/>
          <w:szCs w:val="32"/>
          <w:u w:val="none"/>
          <w:lang w:eastAsia="zh-CN"/>
        </w:rPr>
        <w:t>规定的</w:t>
      </w:r>
      <w:r>
        <w:rPr>
          <w:rFonts w:hint="default" w:ascii="Times New Roman" w:hAnsi="Times New Roman" w:eastAsia="国标仿宋-GB/T 2312" w:cs="Times New Roman"/>
          <w:color w:val="auto"/>
          <w:spacing w:val="0"/>
          <w:sz w:val="32"/>
          <w:szCs w:val="32"/>
          <w:u w:val="none"/>
        </w:rPr>
        <w:t>退役军人保障工作职责，是否制定</w:t>
      </w:r>
      <w:r>
        <w:rPr>
          <w:rFonts w:hint="default" w:ascii="Times New Roman" w:hAnsi="Times New Roman" w:eastAsia="国标仿宋-GB/T 2312" w:cs="Times New Roman"/>
          <w:color w:val="auto"/>
          <w:spacing w:val="0"/>
          <w:sz w:val="32"/>
          <w:szCs w:val="32"/>
          <w:u w:val="none"/>
          <w:lang w:eastAsia="zh-CN"/>
        </w:rPr>
        <w:t>了</w:t>
      </w:r>
      <w:r>
        <w:rPr>
          <w:rFonts w:hint="default" w:ascii="Times New Roman" w:hAnsi="Times New Roman" w:eastAsia="国标仿宋-GB/T 2312" w:cs="Times New Roman"/>
          <w:color w:val="auto"/>
          <w:spacing w:val="0"/>
          <w:sz w:val="32"/>
          <w:szCs w:val="32"/>
          <w:u w:val="none"/>
        </w:rPr>
        <w:t>配套的实施办法或保障标准；</w:t>
      </w:r>
    </w:p>
    <w:p w14:paraId="2453CA4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国标仿宋-GB/T 2312" w:cs="Times New Roman"/>
          <w:color w:val="auto"/>
          <w:spacing w:val="0"/>
          <w:sz w:val="32"/>
          <w:szCs w:val="32"/>
          <w:u w:val="none"/>
        </w:rPr>
      </w:pPr>
      <w:r>
        <w:rPr>
          <w:rFonts w:hint="default" w:ascii="Times New Roman" w:hAnsi="Times New Roman" w:eastAsia="国标仿宋-GB/T 2312" w:cs="Times New Roman"/>
          <w:color w:val="auto"/>
          <w:spacing w:val="0"/>
          <w:sz w:val="32"/>
          <w:szCs w:val="32"/>
          <w:u w:val="none"/>
          <w:lang w:val="en-US" w:eastAsia="zh-CN"/>
        </w:rPr>
        <w:t>2.</w:t>
      </w:r>
      <w:r>
        <w:rPr>
          <w:rFonts w:hint="default" w:ascii="Times New Roman" w:hAnsi="Times New Roman" w:eastAsia="国标仿宋-GB/T 2312" w:cs="Times New Roman"/>
          <w:color w:val="auto"/>
          <w:spacing w:val="0"/>
          <w:sz w:val="32"/>
          <w:szCs w:val="32"/>
          <w:u w:val="none"/>
        </w:rPr>
        <w:t>监督检查有关单位是否履行了</w:t>
      </w:r>
      <w:r>
        <w:rPr>
          <w:rFonts w:hint="default" w:ascii="Times New Roman" w:hAnsi="Times New Roman" w:eastAsia="国标仿宋-GB/T 2312" w:cs="Times New Roman"/>
          <w:color w:val="auto"/>
          <w:spacing w:val="0"/>
          <w:sz w:val="32"/>
          <w:szCs w:val="32"/>
          <w:u w:val="none"/>
          <w:lang w:eastAsia="zh-CN"/>
        </w:rPr>
        <w:t>法定</w:t>
      </w:r>
      <w:r>
        <w:rPr>
          <w:rFonts w:hint="default" w:ascii="Times New Roman" w:hAnsi="Times New Roman" w:eastAsia="国标仿宋-GB/T 2312" w:cs="Times New Roman"/>
          <w:color w:val="auto"/>
          <w:spacing w:val="0"/>
          <w:sz w:val="32"/>
          <w:szCs w:val="32"/>
          <w:u w:val="none"/>
        </w:rPr>
        <w:t>的退役军人保障义务。</w:t>
      </w:r>
    </w:p>
    <w:p w14:paraId="06C9F96B">
      <w:pPr>
        <w:keepNext w:val="0"/>
        <w:keepLines w:val="0"/>
        <w:pageBreakBefore w:val="0"/>
        <w:widowControl w:val="0"/>
        <w:kinsoku/>
        <w:wordWrap/>
        <w:overflowPunct/>
        <w:topLinePunct w:val="0"/>
        <w:autoSpaceDE/>
        <w:autoSpaceDN/>
        <w:bidi w:val="0"/>
        <w:adjustRightInd/>
        <w:snapToGrid/>
        <w:spacing w:line="576" w:lineRule="exact"/>
        <w:ind w:firstLine="720"/>
        <w:textAlignment w:val="auto"/>
        <w:rPr>
          <w:rFonts w:hint="default" w:ascii="Times New Roman" w:hAnsi="Times New Roman" w:eastAsia="国标仿宋-GB/T 2312" w:cs="Times New Roman"/>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范围：</w:t>
      </w:r>
    </w:p>
    <w:p w14:paraId="11F73D3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1.</w:t>
      </w:r>
      <w:r>
        <w:rPr>
          <w:rFonts w:hint="default" w:ascii="Times New Roman" w:hAnsi="Times New Roman" w:eastAsia="国标仿宋-GB/T 2312" w:cs="Times New Roman"/>
          <w:color w:val="auto"/>
          <w:spacing w:val="0"/>
          <w:w w:val="98"/>
          <w:sz w:val="32"/>
          <w:szCs w:val="32"/>
          <w:u w:val="none"/>
          <w:lang w:eastAsia="zh-CN"/>
        </w:rPr>
        <w:t>监督检查专门规定退役军人保障的法律法规规章的落实情况，有无违规行政行为；</w:t>
      </w:r>
    </w:p>
    <w:p w14:paraId="5E7E3EB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2.</w:t>
      </w:r>
      <w:r>
        <w:rPr>
          <w:rFonts w:hint="default" w:ascii="Times New Roman" w:hAnsi="Times New Roman" w:eastAsia="国标仿宋-GB/T 2312" w:cs="Times New Roman"/>
          <w:color w:val="auto"/>
          <w:spacing w:val="0"/>
          <w:sz w:val="32"/>
          <w:szCs w:val="32"/>
          <w:u w:val="none"/>
          <w:lang w:eastAsia="zh-CN"/>
        </w:rPr>
        <w:t>监督检查法律法规规章部分涉及退役军人保障有关条款的落实情况；</w:t>
      </w:r>
    </w:p>
    <w:p w14:paraId="0AEB11B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val="en-US" w:eastAsia="zh-CN"/>
        </w:rPr>
        <w:t>3.</w:t>
      </w:r>
      <w:r>
        <w:rPr>
          <w:rFonts w:hint="default" w:ascii="Times New Roman" w:hAnsi="Times New Roman" w:eastAsia="国标仿宋-GB/T 2312" w:cs="Times New Roman"/>
          <w:color w:val="auto"/>
          <w:spacing w:val="0"/>
          <w:sz w:val="32"/>
          <w:szCs w:val="32"/>
          <w:u w:val="none"/>
          <w:lang w:eastAsia="zh-CN"/>
        </w:rPr>
        <w:t>监督检查自治区各级人民政府及其有关部门制定的涉及退役军人保障的政策措施的落实情况。</w:t>
      </w:r>
    </w:p>
    <w:p w14:paraId="34C9FFAF">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楷体-GB/T 2312" w:cs="Times New Roman"/>
          <w:b w:val="0"/>
          <w:bCs w:val="0"/>
          <w:color w:val="auto"/>
          <w:spacing w:val="0"/>
          <w:sz w:val="32"/>
          <w:szCs w:val="32"/>
          <w:u w:val="none"/>
          <w:lang w:eastAsia="zh-CN"/>
        </w:rPr>
      </w:pPr>
      <w:r>
        <w:rPr>
          <w:rFonts w:hint="default" w:ascii="Times New Roman" w:hAnsi="Times New Roman" w:eastAsia="国标楷体-GB/T 2312" w:cs="Times New Roman"/>
          <w:b w:val="0"/>
          <w:bCs w:val="0"/>
          <w:color w:val="auto"/>
          <w:spacing w:val="0"/>
          <w:sz w:val="32"/>
          <w:szCs w:val="32"/>
          <w:u w:val="none"/>
        </w:rPr>
        <w:t>（</w:t>
      </w:r>
      <w:r>
        <w:rPr>
          <w:rFonts w:hint="default" w:ascii="Times New Roman" w:hAnsi="Times New Roman" w:eastAsia="国标楷体-GB/T 2312" w:cs="Times New Roman"/>
          <w:b w:val="0"/>
          <w:bCs w:val="0"/>
          <w:color w:val="auto"/>
          <w:spacing w:val="0"/>
          <w:sz w:val="32"/>
          <w:szCs w:val="32"/>
          <w:u w:val="none"/>
          <w:lang w:eastAsia="zh-CN"/>
        </w:rPr>
        <w:t>二十</w:t>
      </w:r>
      <w:r>
        <w:rPr>
          <w:rFonts w:hint="default" w:ascii="Times New Roman" w:hAnsi="Times New Roman" w:eastAsia="国标楷体-GB/T 2312" w:cs="Times New Roman"/>
          <w:b w:val="0"/>
          <w:bCs w:val="0"/>
          <w:color w:val="auto"/>
          <w:spacing w:val="0"/>
          <w:sz w:val="32"/>
          <w:szCs w:val="32"/>
          <w:u w:val="none"/>
        </w:rPr>
        <w:t>）</w:t>
      </w:r>
      <w:r>
        <w:rPr>
          <w:rFonts w:hint="default" w:ascii="Times New Roman" w:hAnsi="Times New Roman" w:eastAsia="国标楷体-GB/T 2312" w:cs="Times New Roman"/>
          <w:b w:val="0"/>
          <w:bCs w:val="0"/>
          <w:color w:val="auto"/>
          <w:spacing w:val="0"/>
          <w:sz w:val="32"/>
          <w:szCs w:val="32"/>
          <w:u w:val="none"/>
          <w:lang w:eastAsia="zh-CN"/>
        </w:rPr>
        <w:t>定期对为退役军人提供职业技能培训的普通高等学校、职业院校（含技工院校）、专业培训机构的培训质量进行检查和考核。</w:t>
      </w:r>
    </w:p>
    <w:p w14:paraId="7671EF70">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b w:val="0"/>
          <w:bCs w:val="0"/>
          <w:color w:val="auto"/>
          <w:spacing w:val="0"/>
          <w:sz w:val="32"/>
          <w:szCs w:val="32"/>
          <w:u w:val="none"/>
          <w:lang w:eastAsia="zh-CN"/>
        </w:rPr>
        <w:t>行政检查。</w:t>
      </w:r>
    </w:p>
    <w:p w14:paraId="2ECF4097">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法定依据：</w:t>
      </w:r>
      <w:r>
        <w:rPr>
          <w:rFonts w:hint="default" w:ascii="Times New Roman" w:hAnsi="Times New Roman" w:eastAsia="国标仿宋-GB/T 2312" w:cs="Times New Roman"/>
          <w:color w:val="auto"/>
          <w:spacing w:val="0"/>
          <w:sz w:val="32"/>
          <w:szCs w:val="32"/>
          <w:u w:val="none"/>
        </w:rPr>
        <w:t>《退役军人保障法》第</w:t>
      </w:r>
      <w:r>
        <w:rPr>
          <w:rFonts w:hint="default" w:ascii="Times New Roman" w:hAnsi="Times New Roman" w:eastAsia="国标仿宋-GB/T 2312" w:cs="Times New Roman"/>
          <w:color w:val="auto"/>
          <w:spacing w:val="0"/>
          <w:sz w:val="32"/>
          <w:szCs w:val="32"/>
          <w:u w:val="none"/>
          <w:lang w:eastAsia="zh-CN"/>
        </w:rPr>
        <w:t>三</w:t>
      </w:r>
      <w:r>
        <w:rPr>
          <w:rFonts w:hint="default" w:ascii="Times New Roman" w:hAnsi="Times New Roman" w:eastAsia="国标仿宋-GB/T 2312" w:cs="Times New Roman"/>
          <w:color w:val="auto"/>
          <w:spacing w:val="0"/>
          <w:sz w:val="32"/>
          <w:szCs w:val="32"/>
          <w:u w:val="none"/>
        </w:rPr>
        <w:t>十七条 省级人民政府退役军人工作主管部门会同有关部门加强动态管理，定期对为退役军人提供职业技能培训的普通高等学校、职业院校（含技工院校）、专业培训机构的培训质量进行检查和考核，提高职业技能培训质量和水平。</w:t>
      </w:r>
    </w:p>
    <w:p w14:paraId="038E5278">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职责：</w:t>
      </w:r>
    </w:p>
    <w:p w14:paraId="218D58E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rPr>
      </w:pPr>
      <w:r>
        <w:rPr>
          <w:rFonts w:hint="default" w:ascii="Times New Roman" w:hAnsi="Times New Roman" w:eastAsia="国标仿宋-GB/T 2312" w:cs="Times New Roman"/>
          <w:color w:val="auto"/>
          <w:spacing w:val="0"/>
          <w:sz w:val="32"/>
          <w:szCs w:val="32"/>
          <w:u w:val="none"/>
          <w:lang w:val="en-US" w:eastAsia="zh-CN"/>
        </w:rPr>
        <w:t>1.</w:t>
      </w:r>
      <w:r>
        <w:rPr>
          <w:rFonts w:hint="default" w:ascii="Times New Roman" w:hAnsi="Times New Roman" w:eastAsia="国标仿宋-GB/T 2312" w:cs="Times New Roman"/>
          <w:color w:val="auto"/>
          <w:spacing w:val="0"/>
          <w:sz w:val="32"/>
          <w:szCs w:val="32"/>
          <w:u w:val="none"/>
          <w:lang w:eastAsia="zh-CN"/>
        </w:rPr>
        <w:t>各级退役军人工作主管部门</w:t>
      </w:r>
      <w:r>
        <w:rPr>
          <w:rFonts w:hint="default" w:ascii="Times New Roman" w:hAnsi="Times New Roman" w:eastAsia="国标仿宋-GB/T 2312" w:cs="Times New Roman"/>
          <w:color w:val="auto"/>
          <w:spacing w:val="0"/>
          <w:sz w:val="32"/>
          <w:szCs w:val="32"/>
          <w:u w:val="none"/>
          <w:lang w:val="en-US" w:eastAsia="zh-CN"/>
        </w:rPr>
        <w:t>会同本级有关部门</w:t>
      </w:r>
      <w:r>
        <w:rPr>
          <w:rFonts w:hint="default" w:ascii="Times New Roman" w:hAnsi="Times New Roman" w:eastAsia="国标仿宋-GB/T 2312" w:cs="Times New Roman"/>
          <w:color w:val="auto"/>
          <w:spacing w:val="0"/>
          <w:sz w:val="32"/>
          <w:szCs w:val="32"/>
          <w:u w:val="none"/>
        </w:rPr>
        <w:t>定期对为退役军人提供职业技能培训的普通高等学校、职业院校（含技工院校）、专业培训机构的培训质量进行检查；</w:t>
      </w:r>
    </w:p>
    <w:p w14:paraId="78B5B13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国标仿宋-GB/T 2312" w:cs="Times New Roman"/>
          <w:color w:val="auto"/>
          <w:spacing w:val="0"/>
          <w:sz w:val="32"/>
          <w:szCs w:val="32"/>
          <w:u w:val="none"/>
        </w:rPr>
      </w:pPr>
      <w:r>
        <w:rPr>
          <w:rFonts w:hint="default" w:ascii="Times New Roman" w:hAnsi="Times New Roman" w:eastAsia="国标仿宋-GB/T 2312" w:cs="Times New Roman"/>
          <w:color w:val="auto"/>
          <w:spacing w:val="0"/>
          <w:sz w:val="32"/>
          <w:szCs w:val="32"/>
          <w:u w:val="none"/>
          <w:lang w:val="en-US" w:eastAsia="zh-CN"/>
        </w:rPr>
        <w:t>2.</w:t>
      </w:r>
      <w:r>
        <w:rPr>
          <w:rFonts w:hint="default" w:ascii="Times New Roman" w:hAnsi="Times New Roman" w:eastAsia="国标仿宋-GB/T 2312" w:cs="Times New Roman"/>
          <w:color w:val="auto"/>
          <w:spacing w:val="0"/>
          <w:sz w:val="32"/>
          <w:szCs w:val="32"/>
          <w:u w:val="none"/>
          <w:lang w:eastAsia="zh-CN"/>
        </w:rPr>
        <w:t>各级退役军人工作主管部门</w:t>
      </w:r>
      <w:r>
        <w:rPr>
          <w:rFonts w:hint="default" w:ascii="Times New Roman" w:hAnsi="Times New Roman" w:eastAsia="国标仿宋-GB/T 2312" w:cs="Times New Roman"/>
          <w:color w:val="auto"/>
          <w:spacing w:val="0"/>
          <w:sz w:val="32"/>
          <w:szCs w:val="32"/>
          <w:u w:val="none"/>
          <w:lang w:val="en-US" w:eastAsia="zh-CN"/>
        </w:rPr>
        <w:t>会同本级有关部门</w:t>
      </w:r>
      <w:r>
        <w:rPr>
          <w:rFonts w:hint="default" w:ascii="Times New Roman" w:hAnsi="Times New Roman" w:eastAsia="国标仿宋-GB/T 2312" w:cs="Times New Roman"/>
          <w:color w:val="auto"/>
          <w:spacing w:val="0"/>
          <w:sz w:val="32"/>
          <w:szCs w:val="32"/>
          <w:u w:val="none"/>
        </w:rPr>
        <w:t>定期对为退役军人提供职业技能培训的普通高等学校、职业院校（含技工院校）、专业培训机构的培训质量进行考核。</w:t>
      </w:r>
    </w:p>
    <w:p w14:paraId="540F1DA5">
      <w:pPr>
        <w:keepNext w:val="0"/>
        <w:keepLines w:val="0"/>
        <w:pageBreakBefore w:val="0"/>
        <w:widowControl w:val="0"/>
        <w:kinsoku/>
        <w:wordWrap/>
        <w:overflowPunct/>
        <w:topLinePunct w:val="0"/>
        <w:autoSpaceDE/>
        <w:autoSpaceDN/>
        <w:bidi w:val="0"/>
        <w:adjustRightInd/>
        <w:snapToGrid/>
        <w:spacing w:line="576" w:lineRule="exact"/>
        <w:ind w:firstLine="720"/>
        <w:textAlignment w:val="auto"/>
        <w:rPr>
          <w:rFonts w:hint="default" w:ascii="Times New Roman" w:hAnsi="Times New Roman" w:eastAsia="国标仿宋-GB/T 2312" w:cs="Times New Roman"/>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范围：</w:t>
      </w:r>
    </w:p>
    <w:p w14:paraId="2E52279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国标仿宋-GB/T 2312" w:cs="Times New Roman"/>
          <w:color w:val="auto"/>
          <w:spacing w:val="0"/>
          <w:sz w:val="32"/>
          <w:szCs w:val="32"/>
          <w:u w:val="none"/>
          <w:lang w:eastAsia="zh-CN"/>
        </w:rPr>
      </w:pPr>
      <w:r>
        <w:rPr>
          <w:rFonts w:hint="default" w:ascii="Times New Roman" w:hAnsi="Times New Roman" w:eastAsia="国标仿宋-GB/T 2312" w:cs="Times New Roman"/>
          <w:color w:val="auto"/>
          <w:spacing w:val="0"/>
          <w:sz w:val="32"/>
          <w:szCs w:val="32"/>
          <w:u w:val="none"/>
          <w:lang w:eastAsia="zh-CN"/>
        </w:rPr>
        <w:t>定期</w:t>
      </w:r>
      <w:r>
        <w:rPr>
          <w:rFonts w:hint="default" w:ascii="Times New Roman" w:hAnsi="Times New Roman" w:eastAsia="国标仿宋-GB/T 2312" w:cs="Times New Roman"/>
          <w:color w:val="auto"/>
          <w:spacing w:val="0"/>
          <w:sz w:val="32"/>
          <w:szCs w:val="32"/>
          <w:u w:val="none"/>
        </w:rPr>
        <w:t>检查和考核为退役军人提供职业技能培训的普通高等学校、职业院校（含技工院校）、专业培训机构的培训质量</w:t>
      </w:r>
      <w:r>
        <w:rPr>
          <w:rFonts w:hint="default" w:ascii="Times New Roman" w:hAnsi="Times New Roman" w:eastAsia="国标仿宋-GB/T 2312" w:cs="Times New Roman"/>
          <w:color w:val="auto"/>
          <w:spacing w:val="0"/>
          <w:sz w:val="32"/>
          <w:szCs w:val="32"/>
          <w:u w:val="none"/>
          <w:lang w:eastAsia="zh-CN"/>
        </w:rPr>
        <w:t>。</w:t>
      </w:r>
    </w:p>
    <w:p w14:paraId="471DE4E1">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方正楷体简体" w:cs="Times New Roman"/>
          <w:b w:val="0"/>
          <w:bCs w:val="0"/>
          <w:color w:val="auto"/>
          <w:spacing w:val="0"/>
          <w:sz w:val="32"/>
          <w:szCs w:val="32"/>
          <w:u w:val="none"/>
          <w:lang w:eastAsia="zh-CN"/>
        </w:rPr>
      </w:pPr>
      <w:r>
        <w:rPr>
          <w:rFonts w:hint="default" w:ascii="Times New Roman" w:hAnsi="Times New Roman" w:eastAsia="方正楷体简体" w:cs="Times New Roman"/>
          <w:b w:val="0"/>
          <w:bCs w:val="0"/>
          <w:color w:val="auto"/>
          <w:spacing w:val="0"/>
          <w:sz w:val="32"/>
          <w:szCs w:val="32"/>
          <w:u w:val="none"/>
        </w:rPr>
        <w:t>（</w:t>
      </w:r>
      <w:r>
        <w:rPr>
          <w:rFonts w:hint="default" w:ascii="Times New Roman" w:hAnsi="Times New Roman" w:eastAsia="方正楷体简体" w:cs="Times New Roman"/>
          <w:b w:val="0"/>
          <w:bCs w:val="0"/>
          <w:color w:val="auto"/>
          <w:spacing w:val="0"/>
          <w:sz w:val="32"/>
          <w:szCs w:val="32"/>
          <w:u w:val="none"/>
          <w:lang w:eastAsia="zh-CN"/>
        </w:rPr>
        <w:t>二十一</w:t>
      </w:r>
      <w:r>
        <w:rPr>
          <w:rFonts w:hint="default" w:ascii="Times New Roman" w:hAnsi="Times New Roman" w:eastAsia="方正楷体简体" w:cs="Times New Roman"/>
          <w:b w:val="0"/>
          <w:bCs w:val="0"/>
          <w:color w:val="auto"/>
          <w:spacing w:val="0"/>
          <w:sz w:val="32"/>
          <w:szCs w:val="32"/>
          <w:u w:val="none"/>
        </w:rPr>
        <w:t>）</w:t>
      </w:r>
      <w:r>
        <w:rPr>
          <w:rFonts w:hint="default" w:ascii="Times New Roman" w:hAnsi="Times New Roman" w:eastAsia="方正楷体简体" w:cs="Times New Roman"/>
          <w:b w:val="0"/>
          <w:bCs w:val="0"/>
          <w:color w:val="auto"/>
          <w:spacing w:val="0"/>
          <w:sz w:val="32"/>
          <w:szCs w:val="32"/>
          <w:u w:val="none"/>
          <w:lang w:eastAsia="zh-CN"/>
        </w:rPr>
        <w:t>对烈士纪念设施保护管理工作的监督考核。</w:t>
      </w:r>
    </w:p>
    <w:p w14:paraId="512A661C">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lang w:eastAsia="zh-CN"/>
        </w:rPr>
      </w:pPr>
      <w:r>
        <w:rPr>
          <w:rFonts w:hint="default" w:ascii="Times New Roman" w:hAnsi="Times New Roman" w:eastAsia="国标仿宋-GB/T 2312" w:cs="Times New Roman"/>
          <w:b/>
          <w:bCs/>
          <w:color w:val="auto"/>
          <w:spacing w:val="0"/>
          <w:sz w:val="32"/>
          <w:szCs w:val="32"/>
          <w:u w:val="none"/>
          <w:lang w:eastAsia="zh-CN"/>
        </w:rPr>
        <w:t>行为类型：</w:t>
      </w:r>
      <w:r>
        <w:rPr>
          <w:rFonts w:hint="default" w:ascii="Times New Roman" w:hAnsi="Times New Roman" w:eastAsia="国标仿宋-GB/T 2312" w:cs="Times New Roman"/>
          <w:b w:val="0"/>
          <w:bCs w:val="0"/>
          <w:color w:val="auto"/>
          <w:spacing w:val="0"/>
          <w:sz w:val="32"/>
          <w:szCs w:val="32"/>
          <w:u w:val="none"/>
          <w:lang w:eastAsia="zh-CN"/>
        </w:rPr>
        <w:t>行政检查。</w:t>
      </w:r>
    </w:p>
    <w:p w14:paraId="7709A93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b/>
          <w:bCs/>
          <w:color w:val="auto"/>
          <w:spacing w:val="0"/>
          <w:sz w:val="32"/>
          <w:szCs w:val="32"/>
          <w:u w:val="none"/>
        </w:rPr>
        <w:t>法定依据：</w:t>
      </w:r>
      <w:r>
        <w:rPr>
          <w:rFonts w:hint="default" w:ascii="Times New Roman" w:hAnsi="Times New Roman" w:eastAsia="国标仿宋-GB/T 2312" w:cs="Times New Roman"/>
          <w:color w:val="auto"/>
          <w:spacing w:val="0"/>
          <w:sz w:val="32"/>
          <w:szCs w:val="32"/>
          <w:u w:val="none"/>
          <w:lang w:eastAsia="zh-CN"/>
        </w:rPr>
        <w:t xml:space="preserve">《烈士纪念设施保护管理办法》第二十八条 </w:t>
      </w:r>
      <w:r>
        <w:rPr>
          <w:rFonts w:hint="default" w:ascii="Times New Roman" w:hAnsi="Times New Roman" w:eastAsia="国标仿宋-GB/T 2312" w:cs="Times New Roman"/>
          <w:color w:val="auto"/>
          <w:spacing w:val="0"/>
          <w:sz w:val="32"/>
          <w:szCs w:val="32"/>
          <w:u w:val="none"/>
          <w:lang w:val="en-US" w:eastAsia="zh-CN"/>
        </w:rPr>
        <w:t>县级以上人民政府退役军人工作主管部门应当加强对烈士纪念设施保护管理工作的监督考核。</w:t>
      </w:r>
    </w:p>
    <w:p w14:paraId="6AC8E17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kern w:val="2"/>
          <w:sz w:val="32"/>
          <w:szCs w:val="32"/>
          <w:u w:val="none"/>
          <w:lang w:val="en-US" w:eastAsia="zh-CN" w:bidi="ar-SA"/>
        </w:rPr>
      </w:pPr>
      <w:r>
        <w:rPr>
          <w:rFonts w:hint="default" w:ascii="Times New Roman" w:hAnsi="Times New Roman" w:eastAsia="国标仿宋-GB/T 2312" w:cs="Times New Roman"/>
          <w:color w:val="auto"/>
          <w:spacing w:val="0"/>
          <w:sz w:val="32"/>
          <w:szCs w:val="32"/>
          <w:u w:val="none"/>
          <w:lang w:val="en-US" w:eastAsia="zh-CN"/>
        </w:rPr>
        <w:t>省级人民政府退役军人工作主管部门应当会同有关部门每4年对本地区烈士纪念设施进行一次排查，建立排查档案。对保护不力、管理不善、作用发挥不充分的烈士纪念设施保护单位或管理单位进行通报批评，限期整改；情节严重的，依法依规追究责任。</w:t>
      </w:r>
    </w:p>
    <w:p w14:paraId="6318FEFA">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jc w:val="both"/>
        <w:textAlignment w:val="auto"/>
        <w:rPr>
          <w:rFonts w:hint="default" w:ascii="Times New Roman" w:hAnsi="Times New Roman" w:eastAsia="国标仿宋-GB/T 2312" w:cs="Times New Roman"/>
          <w:b/>
          <w:bCs/>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职责：</w:t>
      </w:r>
    </w:p>
    <w:p w14:paraId="164E5F3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rPr>
      </w:pPr>
      <w:r>
        <w:rPr>
          <w:rFonts w:hint="default" w:ascii="Times New Roman" w:hAnsi="Times New Roman" w:eastAsia="国标仿宋-GB/T 2312" w:cs="Times New Roman"/>
          <w:color w:val="auto"/>
          <w:spacing w:val="0"/>
          <w:sz w:val="32"/>
          <w:szCs w:val="32"/>
          <w:u w:val="none"/>
          <w:lang w:val="en-US" w:eastAsia="zh-CN"/>
        </w:rPr>
        <w:t>1.</w:t>
      </w:r>
      <w:r>
        <w:rPr>
          <w:rFonts w:hint="default" w:ascii="Times New Roman" w:hAnsi="Times New Roman" w:eastAsia="国标仿宋-GB/T 2312" w:cs="Times New Roman"/>
          <w:color w:val="auto"/>
          <w:spacing w:val="0"/>
          <w:sz w:val="32"/>
          <w:szCs w:val="32"/>
          <w:u w:val="none"/>
          <w:lang w:eastAsia="zh-CN"/>
        </w:rPr>
        <w:t>监督检查烈士纪念设施保护单位或管理单位对《烈士纪念设施保护管理办法》的落实情况；</w:t>
      </w:r>
    </w:p>
    <w:p w14:paraId="33DAB4D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国标仿宋-GB/T 2312" w:cs="Times New Roman"/>
          <w:color w:val="auto"/>
          <w:spacing w:val="0"/>
          <w:sz w:val="32"/>
          <w:szCs w:val="32"/>
          <w:u w:val="none"/>
        </w:rPr>
      </w:pPr>
      <w:r>
        <w:rPr>
          <w:rFonts w:hint="default" w:ascii="Times New Roman" w:hAnsi="Times New Roman" w:eastAsia="国标仿宋-GB/T 2312" w:cs="Times New Roman"/>
          <w:color w:val="auto"/>
          <w:spacing w:val="0"/>
          <w:sz w:val="32"/>
          <w:szCs w:val="32"/>
          <w:u w:val="none"/>
          <w:lang w:val="en-US" w:eastAsia="zh-CN"/>
        </w:rPr>
        <w:t>2.监督检查</w:t>
      </w:r>
      <w:r>
        <w:rPr>
          <w:rFonts w:hint="default" w:ascii="Times New Roman" w:hAnsi="Times New Roman" w:eastAsia="国标仿宋-GB/T 2312" w:cs="Times New Roman"/>
          <w:color w:val="auto"/>
          <w:spacing w:val="0"/>
          <w:sz w:val="32"/>
          <w:szCs w:val="32"/>
          <w:u w:val="none"/>
          <w:lang w:eastAsia="zh-CN"/>
        </w:rPr>
        <w:t>烈士纪念设施保护单位或管理单位对</w:t>
      </w:r>
      <w:r>
        <w:rPr>
          <w:rFonts w:hint="default" w:ascii="Times New Roman" w:hAnsi="Times New Roman" w:eastAsia="国标仿宋-GB/T 2312" w:cs="Times New Roman"/>
          <w:color w:val="auto"/>
          <w:spacing w:val="0"/>
          <w:sz w:val="32"/>
          <w:szCs w:val="32"/>
          <w:u w:val="none"/>
          <w:lang w:val="en-US" w:eastAsia="zh-CN"/>
        </w:rPr>
        <w:t>烈士纪念设施的保护、管理和作用发挥情况。</w:t>
      </w:r>
    </w:p>
    <w:p w14:paraId="148ED0E4">
      <w:pPr>
        <w:keepNext w:val="0"/>
        <w:keepLines w:val="0"/>
        <w:pageBreakBefore w:val="0"/>
        <w:widowControl w:val="0"/>
        <w:kinsoku/>
        <w:wordWrap/>
        <w:overflowPunct/>
        <w:topLinePunct w:val="0"/>
        <w:autoSpaceDE/>
        <w:autoSpaceDN/>
        <w:bidi w:val="0"/>
        <w:adjustRightInd/>
        <w:snapToGrid/>
        <w:spacing w:line="576" w:lineRule="exact"/>
        <w:ind w:firstLine="720"/>
        <w:textAlignment w:val="auto"/>
        <w:rPr>
          <w:rFonts w:hint="default" w:ascii="Times New Roman" w:hAnsi="Times New Roman" w:eastAsia="国标仿宋-GB/T 2312" w:cs="Times New Roman"/>
          <w:color w:val="auto"/>
          <w:spacing w:val="0"/>
          <w:sz w:val="32"/>
          <w:szCs w:val="32"/>
          <w:u w:val="none"/>
        </w:rPr>
      </w:pPr>
      <w:r>
        <w:rPr>
          <w:rFonts w:hint="default" w:ascii="Times New Roman" w:hAnsi="Times New Roman" w:eastAsia="国标仿宋-GB/T 2312" w:cs="Times New Roman"/>
          <w:b/>
          <w:bCs/>
          <w:color w:val="auto"/>
          <w:spacing w:val="0"/>
          <w:sz w:val="32"/>
          <w:szCs w:val="32"/>
          <w:u w:val="none"/>
        </w:rPr>
        <w:t>范围：</w:t>
      </w:r>
    </w:p>
    <w:p w14:paraId="4D5D140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县级退役军人工作主管部门应加强对本辖内烈士纪念设施保护单位或管理单位对烈士纪念设施保护管理工作的监督考核。</w:t>
      </w:r>
    </w:p>
    <w:p w14:paraId="6E52FCF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Times New Roman" w:hAnsi="Times New Roman" w:eastAsia="国标仿宋-GB/T 2312" w:cs="Times New Roman"/>
          <w:color w:val="auto"/>
          <w:spacing w:val="0"/>
          <w:sz w:val="32"/>
          <w:szCs w:val="32"/>
          <w:u w:val="none"/>
          <w:lang w:val="en-US" w:eastAsia="zh-CN"/>
        </w:rPr>
      </w:pPr>
      <w:r>
        <w:rPr>
          <w:rFonts w:hint="default" w:ascii="Times New Roman" w:hAnsi="Times New Roman" w:eastAsia="国标仿宋-GB/T 2312" w:cs="Times New Roman"/>
          <w:color w:val="auto"/>
          <w:spacing w:val="0"/>
          <w:sz w:val="32"/>
          <w:szCs w:val="32"/>
          <w:u w:val="none"/>
          <w:lang w:val="en-US" w:eastAsia="zh-CN"/>
        </w:rPr>
        <w:t>省级退役军人工作主管部门应当会同有关部门每4年对本地区烈士纪念设施进行一次全面排查</w:t>
      </w:r>
      <w:r>
        <w:rPr>
          <w:rFonts w:hint="eastAsia" w:ascii="Times New Roman" w:hAnsi="Times New Roman" w:eastAsia="国标仿宋-GB/T 2312" w:cs="Times New Roman"/>
          <w:color w:val="auto"/>
          <w:spacing w:val="0"/>
          <w:sz w:val="32"/>
          <w:szCs w:val="32"/>
          <w:u w:val="none"/>
          <w:lang w:val="en-US" w:eastAsia="zh-CN"/>
        </w:rPr>
        <w:t>。</w:t>
      </w:r>
    </w:p>
    <w:p w14:paraId="4EA41E04">
      <w:pPr>
        <w:pStyle w:val="2"/>
        <w:rPr>
          <w:rFonts w:hint="eastAsia" w:ascii="Times New Roman" w:hAnsi="Times New Roman" w:eastAsia="国标仿宋-GB/T 2312" w:cs="Times New Roman"/>
          <w:color w:val="auto"/>
          <w:spacing w:val="0"/>
          <w:sz w:val="32"/>
          <w:szCs w:val="32"/>
          <w:u w:val="none"/>
          <w:lang w:val="en-US" w:eastAsia="zh-CN"/>
        </w:rPr>
      </w:pPr>
    </w:p>
    <w:p w14:paraId="02C9F79D">
      <w:pPr>
        <w:rPr>
          <w:rFonts w:hint="eastAsia" w:ascii="Times New Roman" w:hAnsi="Times New Roman" w:eastAsia="国标仿宋-GB/T 2312" w:cs="Times New Roman"/>
          <w:color w:val="auto"/>
          <w:spacing w:val="0"/>
          <w:sz w:val="32"/>
          <w:szCs w:val="32"/>
          <w:u w:val="none"/>
          <w:lang w:val="en-US" w:eastAsia="zh-CN"/>
        </w:rPr>
      </w:pPr>
    </w:p>
    <w:p w14:paraId="294CEA40">
      <w:pPr>
        <w:pStyle w:val="2"/>
        <w:rPr>
          <w:rFonts w:hint="eastAsia" w:ascii="Times New Roman" w:hAnsi="Times New Roman" w:eastAsia="国标仿宋-GB/T 2312" w:cs="Times New Roman"/>
          <w:color w:val="auto"/>
          <w:spacing w:val="0"/>
          <w:sz w:val="32"/>
          <w:szCs w:val="32"/>
          <w:u w:val="none"/>
          <w:lang w:val="en-US" w:eastAsia="zh-CN"/>
        </w:rPr>
      </w:pPr>
    </w:p>
    <w:p w14:paraId="0E098C20">
      <w:pPr>
        <w:rPr>
          <w:rFonts w:hint="eastAsia" w:ascii="Times New Roman" w:hAnsi="Times New Roman" w:eastAsia="国标仿宋-GB/T 2312" w:cs="Times New Roman"/>
          <w:color w:val="auto"/>
          <w:spacing w:val="0"/>
          <w:sz w:val="32"/>
          <w:szCs w:val="32"/>
          <w:u w:val="none"/>
          <w:lang w:val="en-US" w:eastAsia="zh-CN"/>
        </w:rPr>
      </w:pPr>
    </w:p>
    <w:p w14:paraId="370C97A5">
      <w:pPr>
        <w:pStyle w:val="2"/>
        <w:rPr>
          <w:rFonts w:hint="eastAsia" w:ascii="Times New Roman" w:hAnsi="Times New Roman" w:eastAsia="国标仿宋-GB/T 2312" w:cs="Times New Roman"/>
          <w:color w:val="auto"/>
          <w:spacing w:val="0"/>
          <w:sz w:val="32"/>
          <w:szCs w:val="32"/>
          <w:u w:val="none"/>
          <w:lang w:val="en-US" w:eastAsia="zh-CN"/>
        </w:rPr>
      </w:pPr>
    </w:p>
    <w:p w14:paraId="1640590A">
      <w:pPr>
        <w:rPr>
          <w:rFonts w:hint="eastAsia" w:ascii="Times New Roman" w:hAnsi="Times New Roman" w:eastAsia="国标仿宋-GB/T 2312" w:cs="Times New Roman"/>
          <w:color w:val="auto"/>
          <w:spacing w:val="0"/>
          <w:sz w:val="32"/>
          <w:szCs w:val="32"/>
          <w:u w:val="none"/>
          <w:lang w:val="en-US" w:eastAsia="zh-CN"/>
        </w:rPr>
      </w:pPr>
    </w:p>
    <w:p w14:paraId="33EB4055">
      <w:pPr>
        <w:pStyle w:val="2"/>
        <w:rPr>
          <w:rFonts w:hint="eastAsia" w:ascii="Times New Roman" w:hAnsi="Times New Roman" w:eastAsia="国标仿宋-GB/T 2312" w:cs="Times New Roman"/>
          <w:color w:val="auto"/>
          <w:spacing w:val="0"/>
          <w:sz w:val="32"/>
          <w:szCs w:val="32"/>
          <w:u w:val="none"/>
          <w:lang w:val="en-US" w:eastAsia="zh-CN"/>
        </w:rPr>
      </w:pPr>
    </w:p>
    <w:p w14:paraId="22E1432C">
      <w:pPr>
        <w:rPr>
          <w:rFonts w:hint="eastAsia" w:ascii="Times New Roman" w:hAnsi="Times New Roman" w:eastAsia="国标仿宋-GB/T 2312" w:cs="Times New Roman"/>
          <w:color w:val="auto"/>
          <w:spacing w:val="0"/>
          <w:sz w:val="32"/>
          <w:szCs w:val="32"/>
          <w:u w:val="none"/>
          <w:lang w:val="en-US" w:eastAsia="zh-CN"/>
        </w:rPr>
      </w:pPr>
    </w:p>
    <w:p w14:paraId="2A7A617F">
      <w:pPr>
        <w:pStyle w:val="2"/>
        <w:rPr>
          <w:rFonts w:hint="eastAsia" w:ascii="Times New Roman" w:hAnsi="Times New Roman" w:eastAsia="国标仿宋-GB/T 2312" w:cs="Times New Roman"/>
          <w:color w:val="auto"/>
          <w:spacing w:val="0"/>
          <w:sz w:val="32"/>
          <w:szCs w:val="32"/>
          <w:u w:val="none"/>
          <w:lang w:val="en-US" w:eastAsia="zh-CN"/>
        </w:rPr>
      </w:pPr>
    </w:p>
    <w:p w14:paraId="4C83D5A0">
      <w:pPr>
        <w:rPr>
          <w:rFonts w:hint="eastAsia" w:ascii="Times New Roman" w:hAnsi="Times New Roman" w:eastAsia="国标仿宋-GB/T 2312" w:cs="Times New Roman"/>
          <w:color w:val="auto"/>
          <w:spacing w:val="0"/>
          <w:sz w:val="32"/>
          <w:szCs w:val="32"/>
          <w:u w:val="none"/>
          <w:lang w:val="en-US" w:eastAsia="zh-CN"/>
        </w:rPr>
      </w:pPr>
    </w:p>
    <w:p w14:paraId="09681EEB">
      <w:pPr>
        <w:pStyle w:val="2"/>
        <w:rPr>
          <w:rFonts w:hint="eastAsia" w:ascii="Times New Roman" w:hAnsi="Times New Roman" w:eastAsia="国标仿宋-GB/T 2312" w:cs="Times New Roman"/>
          <w:color w:val="auto"/>
          <w:spacing w:val="0"/>
          <w:sz w:val="32"/>
          <w:szCs w:val="32"/>
          <w:u w:val="none"/>
          <w:lang w:val="en-US" w:eastAsia="zh-CN"/>
        </w:rPr>
      </w:pPr>
    </w:p>
    <w:p w14:paraId="55628F4D">
      <w:pPr>
        <w:rPr>
          <w:rFonts w:hint="eastAsia" w:ascii="Times New Roman" w:hAnsi="Times New Roman" w:eastAsia="国标仿宋-GB/T 2312" w:cs="Times New Roman"/>
          <w:color w:val="auto"/>
          <w:spacing w:val="0"/>
          <w:sz w:val="32"/>
          <w:szCs w:val="32"/>
          <w:u w:val="none"/>
          <w:lang w:val="en-US" w:eastAsia="zh-CN"/>
        </w:rPr>
      </w:pPr>
    </w:p>
    <w:p w14:paraId="1B40E4C1">
      <w:pPr>
        <w:pStyle w:val="2"/>
        <w:rPr>
          <w:rFonts w:hint="eastAsia" w:ascii="Times New Roman" w:hAnsi="Times New Roman" w:eastAsia="国标仿宋-GB/T 2312" w:cs="Times New Roman"/>
          <w:color w:val="auto"/>
          <w:spacing w:val="0"/>
          <w:sz w:val="32"/>
          <w:szCs w:val="32"/>
          <w:u w:val="none"/>
          <w:lang w:val="en-US" w:eastAsia="zh-CN"/>
        </w:rPr>
      </w:pPr>
    </w:p>
    <w:p w14:paraId="0397CE00">
      <w:pPr>
        <w:rPr>
          <w:rFonts w:hint="default"/>
          <w:lang w:val="en-US" w:eastAsia="zh-CN"/>
        </w:rPr>
      </w:pPr>
    </w:p>
    <w:p w14:paraId="3AF34287">
      <w:pPr>
        <w:rPr>
          <w:rFonts w:hint="default"/>
          <w:lang w:val="en-US" w:eastAsia="zh-CN"/>
        </w:rPr>
        <w:sectPr>
          <w:pgSz w:w="11906" w:h="16838"/>
          <w:pgMar w:top="1984" w:right="1587" w:bottom="1587" w:left="1587" w:header="851" w:footer="992" w:gutter="0"/>
          <w:pgNumType w:fmt="numberInDash"/>
          <w:cols w:space="425" w:num="1"/>
          <w:rtlGutter w:val="0"/>
          <w:docGrid w:type="lines" w:linePitch="312" w:charSpace="0"/>
        </w:sectPr>
      </w:pPr>
    </w:p>
    <w:p w14:paraId="1B0987D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Style w:val="15"/>
          <w:rFonts w:hint="eastAsia" w:ascii="国标黑体-GB/T 2312" w:hAnsi="国标黑体-GB/T 2312" w:eastAsia="国标黑体-GB/T 2312" w:cs="国标黑体-GB/T 2312"/>
          <w:b w:val="0"/>
          <w:bCs/>
          <w:color w:val="auto"/>
          <w:spacing w:val="0"/>
          <w:sz w:val="32"/>
          <w:szCs w:val="32"/>
          <w:highlight w:val="none"/>
          <w:u w:val="none"/>
          <w:shd w:val="clear" w:color="auto" w:fill="FFFFFF"/>
          <w:lang w:val="en-US" w:eastAsia="zh-CN"/>
        </w:rPr>
      </w:pPr>
      <w:r>
        <w:rPr>
          <w:rFonts w:hint="eastAsia" w:ascii="国标黑体-GB/T 2312" w:hAnsi="国标黑体-GB/T 2312" w:eastAsia="国标黑体-GB/T 2312" w:cs="国标黑体-GB/T 2312"/>
          <w:color w:val="auto"/>
          <w:spacing w:val="0"/>
          <w:sz w:val="32"/>
          <w:szCs w:val="32"/>
          <w:u w:val="none"/>
          <w:lang w:eastAsia="zh-CN"/>
        </w:rPr>
        <w:t>三</w:t>
      </w:r>
      <w:r>
        <w:rPr>
          <w:rFonts w:hint="eastAsia" w:ascii="国标黑体-GB/T 2312" w:hAnsi="国标黑体-GB/T 2312" w:eastAsia="国标黑体-GB/T 2312" w:cs="国标黑体-GB/T 2312"/>
          <w:color w:val="auto"/>
          <w:spacing w:val="0"/>
          <w:sz w:val="32"/>
          <w:szCs w:val="32"/>
          <w:u w:val="none"/>
        </w:rPr>
        <w:t>、行政</w:t>
      </w:r>
      <w:r>
        <w:rPr>
          <w:rFonts w:hint="eastAsia" w:ascii="国标黑体-GB/T 2312" w:hAnsi="国标黑体-GB/T 2312" w:eastAsia="国标黑体-GB/T 2312" w:cs="国标黑体-GB/T 2312"/>
          <w:color w:val="auto"/>
          <w:spacing w:val="0"/>
          <w:sz w:val="32"/>
          <w:szCs w:val="32"/>
          <w:u w:val="none"/>
          <w:lang w:eastAsia="zh-CN"/>
        </w:rPr>
        <w:t>检查</w:t>
      </w:r>
      <w:r>
        <w:rPr>
          <w:rFonts w:hint="eastAsia" w:ascii="国标黑体-GB/T 2312" w:hAnsi="国标黑体-GB/T 2312" w:eastAsia="国标黑体-GB/T 2312" w:cs="国标黑体-GB/T 2312"/>
          <w:color w:val="auto"/>
          <w:spacing w:val="0"/>
          <w:sz w:val="32"/>
          <w:szCs w:val="32"/>
          <w:u w:val="none"/>
        </w:rPr>
        <w:t>细化量化规定</w:t>
      </w:r>
    </w:p>
    <w:tbl>
      <w:tblPr>
        <w:tblStyle w:val="13"/>
        <w:tblW w:w="12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037"/>
        <w:gridCol w:w="4827"/>
        <w:gridCol w:w="1926"/>
        <w:gridCol w:w="2683"/>
        <w:gridCol w:w="1170"/>
      </w:tblGrid>
      <w:tr w14:paraId="6C25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45" w:type="dxa"/>
            <w:vAlign w:val="center"/>
          </w:tcPr>
          <w:p w14:paraId="518252F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国标楷体-GB/T 2312" w:hAnsi="国标楷体-GB/T 2312" w:eastAsia="国标楷体-GB/T 2312" w:cs="国标楷体-GB/T 2312"/>
                <w:b w:val="0"/>
                <w:bCs w:val="0"/>
                <w:color w:val="auto"/>
                <w:spacing w:val="0"/>
                <w:kern w:val="2"/>
                <w:sz w:val="21"/>
                <w:szCs w:val="21"/>
                <w:u w:val="none"/>
                <w:vertAlign w:val="baseline"/>
                <w:lang w:val="en-US" w:eastAsia="zh-CN" w:bidi="ar-SA"/>
              </w:rPr>
            </w:pPr>
            <w:r>
              <w:rPr>
                <w:rFonts w:hint="eastAsia" w:ascii="国标楷体-GB/T 2312" w:hAnsi="国标楷体-GB/T 2312" w:eastAsia="国标楷体-GB/T 2312" w:cs="国标楷体-GB/T 2312"/>
                <w:b w:val="0"/>
                <w:bCs w:val="0"/>
                <w:color w:val="auto"/>
                <w:spacing w:val="0"/>
                <w:kern w:val="2"/>
                <w:sz w:val="21"/>
                <w:szCs w:val="21"/>
                <w:u w:val="none"/>
                <w:vertAlign w:val="baseline"/>
                <w:lang w:val="en-US" w:eastAsia="zh-CN" w:bidi="ar-SA"/>
              </w:rPr>
              <w:t>职权名称</w:t>
            </w:r>
          </w:p>
        </w:tc>
        <w:tc>
          <w:tcPr>
            <w:tcW w:w="1037" w:type="dxa"/>
            <w:vAlign w:val="center"/>
          </w:tcPr>
          <w:p w14:paraId="624F1A4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国标楷体-GB/T 2312" w:hAnsi="国标楷体-GB/T 2312" w:eastAsia="国标楷体-GB/T 2312" w:cs="国标楷体-GB/T 2312"/>
                <w:b w:val="0"/>
                <w:bCs w:val="0"/>
                <w:color w:val="auto"/>
                <w:spacing w:val="0"/>
                <w:kern w:val="2"/>
                <w:sz w:val="21"/>
                <w:szCs w:val="21"/>
                <w:u w:val="none"/>
                <w:vertAlign w:val="baseline"/>
                <w:lang w:val="en-US" w:eastAsia="zh-CN" w:bidi="ar-SA"/>
              </w:rPr>
            </w:pPr>
            <w:r>
              <w:rPr>
                <w:rFonts w:hint="eastAsia" w:ascii="国标楷体-GB/T 2312" w:hAnsi="国标楷体-GB/T 2312" w:eastAsia="国标楷体-GB/T 2312" w:cs="国标楷体-GB/T 2312"/>
                <w:b w:val="0"/>
                <w:bCs w:val="0"/>
                <w:color w:val="auto"/>
                <w:spacing w:val="0"/>
                <w:kern w:val="2"/>
                <w:sz w:val="21"/>
                <w:szCs w:val="21"/>
                <w:u w:val="none"/>
                <w:vertAlign w:val="baseline"/>
                <w:lang w:val="en-US" w:eastAsia="zh-CN" w:bidi="ar-SA"/>
              </w:rPr>
              <w:t>职权</w:t>
            </w:r>
          </w:p>
          <w:p w14:paraId="7EA1724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国标楷体-GB/T 2312" w:hAnsi="国标楷体-GB/T 2312" w:eastAsia="国标楷体-GB/T 2312" w:cs="国标楷体-GB/T 2312"/>
                <w:b w:val="0"/>
                <w:bCs w:val="0"/>
                <w:color w:val="auto"/>
                <w:spacing w:val="0"/>
                <w:kern w:val="2"/>
                <w:sz w:val="21"/>
                <w:szCs w:val="21"/>
                <w:u w:val="none"/>
                <w:vertAlign w:val="baseline"/>
                <w:lang w:val="en-US" w:eastAsia="zh-CN" w:bidi="ar-SA"/>
              </w:rPr>
            </w:pPr>
            <w:r>
              <w:rPr>
                <w:rFonts w:hint="eastAsia" w:ascii="国标楷体-GB/T 2312" w:hAnsi="国标楷体-GB/T 2312" w:eastAsia="国标楷体-GB/T 2312" w:cs="国标楷体-GB/T 2312"/>
                <w:b w:val="0"/>
                <w:bCs w:val="0"/>
                <w:color w:val="auto"/>
                <w:spacing w:val="0"/>
                <w:kern w:val="2"/>
                <w:sz w:val="21"/>
                <w:szCs w:val="21"/>
                <w:u w:val="none"/>
                <w:vertAlign w:val="baseline"/>
                <w:lang w:val="en-US" w:eastAsia="zh-CN" w:bidi="ar-SA"/>
              </w:rPr>
              <w:t>类别</w:t>
            </w:r>
          </w:p>
        </w:tc>
        <w:tc>
          <w:tcPr>
            <w:tcW w:w="4827" w:type="dxa"/>
            <w:vAlign w:val="center"/>
          </w:tcPr>
          <w:p w14:paraId="47AEAD0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国标楷体-GB/T 2312" w:hAnsi="国标楷体-GB/T 2312" w:eastAsia="国标楷体-GB/T 2312" w:cs="国标楷体-GB/T 2312"/>
                <w:b w:val="0"/>
                <w:bCs w:val="0"/>
                <w:color w:val="auto"/>
                <w:spacing w:val="0"/>
                <w:kern w:val="2"/>
                <w:sz w:val="21"/>
                <w:szCs w:val="21"/>
                <w:u w:val="none"/>
                <w:vertAlign w:val="baseline"/>
                <w:lang w:val="en-US" w:eastAsia="zh-CN" w:bidi="ar-SA"/>
              </w:rPr>
            </w:pPr>
            <w:r>
              <w:rPr>
                <w:rFonts w:hint="eastAsia" w:ascii="国标楷体-GB/T 2312" w:hAnsi="国标楷体-GB/T 2312" w:eastAsia="国标楷体-GB/T 2312" w:cs="国标楷体-GB/T 2312"/>
                <w:b w:val="0"/>
                <w:bCs w:val="0"/>
                <w:color w:val="auto"/>
                <w:spacing w:val="0"/>
                <w:kern w:val="2"/>
                <w:sz w:val="21"/>
                <w:szCs w:val="21"/>
                <w:u w:val="none"/>
                <w:vertAlign w:val="baseline"/>
                <w:lang w:val="en-US" w:eastAsia="zh-CN" w:bidi="ar-SA"/>
              </w:rPr>
              <w:t>职权依据</w:t>
            </w:r>
          </w:p>
        </w:tc>
        <w:tc>
          <w:tcPr>
            <w:tcW w:w="1926" w:type="dxa"/>
            <w:vAlign w:val="center"/>
          </w:tcPr>
          <w:p w14:paraId="568E453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国标楷体-GB/T 2312" w:hAnsi="国标楷体-GB/T 2312" w:eastAsia="国标楷体-GB/T 2312" w:cs="国标楷体-GB/T 2312"/>
                <w:b w:val="0"/>
                <w:bCs w:val="0"/>
                <w:color w:val="auto"/>
                <w:spacing w:val="0"/>
                <w:kern w:val="2"/>
                <w:sz w:val="21"/>
                <w:szCs w:val="21"/>
                <w:u w:val="none"/>
                <w:vertAlign w:val="baseline"/>
                <w:lang w:val="en-US" w:eastAsia="zh-CN" w:bidi="ar-SA"/>
              </w:rPr>
            </w:pPr>
            <w:r>
              <w:rPr>
                <w:rFonts w:hint="eastAsia" w:ascii="国标楷体-GB/T 2312" w:hAnsi="国标楷体-GB/T 2312" w:eastAsia="国标楷体-GB/T 2312" w:cs="国标楷体-GB/T 2312"/>
                <w:b w:val="0"/>
                <w:bCs w:val="0"/>
                <w:color w:val="auto"/>
                <w:spacing w:val="0"/>
                <w:kern w:val="2"/>
                <w:sz w:val="21"/>
                <w:szCs w:val="21"/>
                <w:u w:val="none"/>
                <w:vertAlign w:val="baseline"/>
                <w:lang w:val="en-US" w:eastAsia="zh-CN" w:bidi="ar-SA"/>
              </w:rPr>
              <w:t>职责</w:t>
            </w:r>
          </w:p>
        </w:tc>
        <w:tc>
          <w:tcPr>
            <w:tcW w:w="2683" w:type="dxa"/>
            <w:vAlign w:val="center"/>
          </w:tcPr>
          <w:p w14:paraId="5086D0F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国标楷体-GB/T 2312" w:hAnsi="国标楷体-GB/T 2312" w:eastAsia="国标楷体-GB/T 2312" w:cs="国标楷体-GB/T 2312"/>
                <w:b w:val="0"/>
                <w:bCs w:val="0"/>
                <w:color w:val="auto"/>
                <w:spacing w:val="0"/>
                <w:kern w:val="2"/>
                <w:sz w:val="21"/>
                <w:szCs w:val="21"/>
                <w:u w:val="none"/>
                <w:vertAlign w:val="baseline"/>
                <w:lang w:val="en-US" w:eastAsia="zh-CN" w:bidi="ar-SA"/>
              </w:rPr>
            </w:pPr>
            <w:r>
              <w:rPr>
                <w:rFonts w:hint="eastAsia" w:ascii="国标楷体-GB/T 2312" w:hAnsi="国标楷体-GB/T 2312" w:eastAsia="国标楷体-GB/T 2312" w:cs="国标楷体-GB/T 2312"/>
                <w:b w:val="0"/>
                <w:bCs w:val="0"/>
                <w:color w:val="auto"/>
                <w:spacing w:val="0"/>
                <w:kern w:val="2"/>
                <w:sz w:val="21"/>
                <w:szCs w:val="21"/>
                <w:u w:val="none"/>
                <w:vertAlign w:val="baseline"/>
                <w:lang w:val="en-US" w:eastAsia="zh-CN" w:bidi="ar-SA"/>
              </w:rPr>
              <w:t>检查范围</w:t>
            </w:r>
          </w:p>
        </w:tc>
        <w:tc>
          <w:tcPr>
            <w:tcW w:w="1170" w:type="dxa"/>
            <w:vAlign w:val="center"/>
          </w:tcPr>
          <w:p w14:paraId="34276BD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eastAsia" w:ascii="国标楷体-GB/T 2312" w:hAnsi="国标楷体-GB/T 2312" w:eastAsia="国标楷体-GB/T 2312" w:cs="国标楷体-GB/T 2312"/>
                <w:b w:val="0"/>
                <w:bCs w:val="0"/>
                <w:color w:val="auto"/>
                <w:spacing w:val="0"/>
                <w:kern w:val="2"/>
                <w:sz w:val="21"/>
                <w:szCs w:val="21"/>
                <w:u w:val="none"/>
                <w:vertAlign w:val="baseline"/>
                <w:lang w:val="en-US" w:eastAsia="zh-CN" w:bidi="ar-SA"/>
              </w:rPr>
            </w:pPr>
            <w:r>
              <w:rPr>
                <w:rFonts w:hint="eastAsia" w:ascii="国标楷体-GB/T 2312" w:hAnsi="国标楷体-GB/T 2312" w:eastAsia="国标楷体-GB/T 2312" w:cs="国标楷体-GB/T 2312"/>
                <w:b w:val="0"/>
                <w:bCs w:val="0"/>
                <w:color w:val="auto"/>
                <w:spacing w:val="0"/>
                <w:kern w:val="2"/>
                <w:sz w:val="21"/>
                <w:szCs w:val="21"/>
                <w:u w:val="none"/>
                <w:vertAlign w:val="baseline"/>
                <w:lang w:val="en-US" w:eastAsia="zh-CN" w:bidi="ar-SA"/>
              </w:rPr>
              <w:t>备注</w:t>
            </w:r>
          </w:p>
        </w:tc>
      </w:tr>
      <w:tr w14:paraId="25FA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0" w:hRule="atLeast"/>
        </w:trPr>
        <w:tc>
          <w:tcPr>
            <w:tcW w:w="1145" w:type="dxa"/>
            <w:vAlign w:val="center"/>
          </w:tcPr>
          <w:p w14:paraId="2F236D6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国标仿宋-GB/T 2312" w:cs="Times New Roman"/>
                <w:b w:val="0"/>
                <w:bCs w:val="0"/>
                <w:color w:val="auto"/>
                <w:spacing w:val="0"/>
                <w:kern w:val="2"/>
                <w:sz w:val="20"/>
                <w:szCs w:val="20"/>
                <w:u w:val="none"/>
                <w:vertAlign w:val="baseli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监督检查退役军人保障相关法律法规和政策措施落实情况</w:t>
            </w:r>
          </w:p>
        </w:tc>
        <w:tc>
          <w:tcPr>
            <w:tcW w:w="1037" w:type="dxa"/>
            <w:vAlign w:val="center"/>
          </w:tcPr>
          <w:p w14:paraId="6534283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国标仿宋-GB/T 2312" w:cs="Times New Roman"/>
                <w:b w:val="0"/>
                <w:bCs w:val="0"/>
                <w:color w:val="auto"/>
                <w:spacing w:val="0"/>
                <w:kern w:val="2"/>
                <w:sz w:val="20"/>
                <w:szCs w:val="20"/>
                <w:u w:val="none"/>
                <w:vertAlign w:val="baseli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行政检查</w:t>
            </w:r>
          </w:p>
        </w:tc>
        <w:tc>
          <w:tcPr>
            <w:tcW w:w="4827" w:type="dxa"/>
            <w:vAlign w:val="center"/>
          </w:tcPr>
          <w:p w14:paraId="0E3316D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《退役军人保障法》第七十一条 县级以上人民政府退役军人工作主管部门应当依法指导、督促有关部门和单位做好退役安置、教育培训、就业创业、抚恤优待、褒扬激励、拥军优属等工作，监督检查退役军人保障相关法律法规和政策措施落实情况，推进解决退役军人保障工作中存在的问题。</w:t>
            </w:r>
          </w:p>
          <w:p w14:paraId="58FC4E3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vertAlign w:val="baseli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《伤残抚恤管理办法》第二十七条 退役军人工作主管部门及其工作人员、其他有关单位及其工作人员有下列行为之一的，由其上级主管部门责令改正；情节严重，构成犯罪的，依法追究刑事责任；尚不构成犯罪的，依法给予处分：（一）违反规定审批抚恤待遇的；（二）在审批抚恤待遇工作中出具虚假诊断、鉴定、证明的；（三）不按照规定的标准、数额、对象审批或者发放抚恤金的；（四）在伤残抚恤工作中利用职权谋取私利的；（五）虚报伤残人员数据申报抚恤金的；（六）有其他违法行为的。</w:t>
            </w:r>
          </w:p>
        </w:tc>
        <w:tc>
          <w:tcPr>
            <w:tcW w:w="1926" w:type="dxa"/>
            <w:vAlign w:val="center"/>
          </w:tcPr>
          <w:p w14:paraId="49EDB89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1.监督检查与退役军人工作有关的部门是否切实履行了规定的退役军人保障工作职责，是否制定了配套的实施办法或保障标准；</w:t>
            </w:r>
          </w:p>
          <w:p w14:paraId="093BC63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vertAlign w:val="baseli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2.监督检查有关单位是否履行了法定的退役军人保障义务。</w:t>
            </w:r>
          </w:p>
        </w:tc>
        <w:tc>
          <w:tcPr>
            <w:tcW w:w="2683" w:type="dxa"/>
            <w:vAlign w:val="center"/>
          </w:tcPr>
          <w:p w14:paraId="2CFEBB7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1.监督检查专门规定退役军人保障的法律法规规章的落实情况，有无违规行政行为；</w:t>
            </w:r>
          </w:p>
          <w:p w14:paraId="4EB4310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2.监督检查法律法规规章部分涉及退役军人保障有关条款的落实情况；</w:t>
            </w:r>
          </w:p>
          <w:p w14:paraId="5F54024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vertAlign w:val="baseli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3.监督检查自治区各级人民政府及其有关部门制定的涉及退役军人保障的政策措施的落实情况。</w:t>
            </w:r>
          </w:p>
        </w:tc>
        <w:tc>
          <w:tcPr>
            <w:tcW w:w="1170" w:type="dxa"/>
          </w:tcPr>
          <w:p w14:paraId="1CECE22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vertAlign w:val="baseline"/>
                <w:lang w:val="en-US" w:eastAsia="zh-CN" w:bidi="ar-SA"/>
              </w:rPr>
            </w:pPr>
          </w:p>
        </w:tc>
      </w:tr>
      <w:tr w14:paraId="2EFB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trPr>
        <w:tc>
          <w:tcPr>
            <w:tcW w:w="1145" w:type="dxa"/>
            <w:vAlign w:val="center"/>
          </w:tcPr>
          <w:p w14:paraId="66D577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定期对为退役军人提供职业技能培训的普通高等学校、职业院校（含技工院校）、专业培训机构的培训质量进行检查和考核</w:t>
            </w:r>
          </w:p>
        </w:tc>
        <w:tc>
          <w:tcPr>
            <w:tcW w:w="1037" w:type="dxa"/>
            <w:vAlign w:val="center"/>
          </w:tcPr>
          <w:p w14:paraId="6F237A7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center"/>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行政检查</w:t>
            </w:r>
          </w:p>
        </w:tc>
        <w:tc>
          <w:tcPr>
            <w:tcW w:w="4827" w:type="dxa"/>
            <w:vAlign w:val="center"/>
          </w:tcPr>
          <w:p w14:paraId="59CF45B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vertAlign w:val="baseli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《退役军人保障法》第三十七条 省级人民政府退役军人工作主管部门会同有关部门加强动态管理，定期对为退役军人提供职业技能培训的普通高等学校、职业院校（含技工院校）、专业培训机构的培训质量进行检查和考核，提高职业技能培训质量和水平。</w:t>
            </w:r>
          </w:p>
        </w:tc>
        <w:tc>
          <w:tcPr>
            <w:tcW w:w="1926" w:type="dxa"/>
            <w:vAlign w:val="center"/>
          </w:tcPr>
          <w:p w14:paraId="7736F73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1.各级退役军人工作主管部门会同本级有关部门定期对为退役军人提供职业技能培训的普通高等学校、职业院校（含技工院校）、专业培训机构的培训质量进行检查；</w:t>
            </w:r>
          </w:p>
          <w:p w14:paraId="1149244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vertAlign w:val="baseli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2.各级退役军人工作主管部门会同本级有关部门定期对为退役军人提供职业技能培训的普通高等学校、职业院校（含技工院校）、专业培训机构的培训质量进行考核。</w:t>
            </w:r>
          </w:p>
        </w:tc>
        <w:tc>
          <w:tcPr>
            <w:tcW w:w="2683" w:type="dxa"/>
            <w:vAlign w:val="center"/>
          </w:tcPr>
          <w:p w14:paraId="242F93A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vertAlign w:val="baseli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定期检查和考核为退役军人提供职业技能培训的普通高等学校、职业院校（含技工院校）、专业培训机构的培训质量。</w:t>
            </w:r>
          </w:p>
        </w:tc>
        <w:tc>
          <w:tcPr>
            <w:tcW w:w="1170" w:type="dxa"/>
            <w:vAlign w:val="center"/>
          </w:tcPr>
          <w:p w14:paraId="4BD5676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vertAlign w:val="baseline"/>
                <w:lang w:val="en-US" w:eastAsia="zh-CN" w:bidi="ar-SA"/>
              </w:rPr>
            </w:pPr>
          </w:p>
        </w:tc>
      </w:tr>
      <w:tr w14:paraId="2DE5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1145" w:type="dxa"/>
            <w:vAlign w:val="center"/>
          </w:tcPr>
          <w:p w14:paraId="693CDC7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对烈士纪念设施保护管理工作的监督考核</w:t>
            </w:r>
          </w:p>
        </w:tc>
        <w:tc>
          <w:tcPr>
            <w:tcW w:w="1037" w:type="dxa"/>
            <w:vAlign w:val="center"/>
          </w:tcPr>
          <w:p w14:paraId="3B7A672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行政检查</w:t>
            </w:r>
          </w:p>
        </w:tc>
        <w:tc>
          <w:tcPr>
            <w:tcW w:w="4827" w:type="dxa"/>
            <w:vAlign w:val="center"/>
          </w:tcPr>
          <w:p w14:paraId="2F09652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《烈士纪念设施保护管理办法》第二十八条 县级以上人民政府退役军人工作主管部门应当加强对烈士纪念设施保护管理工作的监督考核。</w:t>
            </w:r>
          </w:p>
          <w:p w14:paraId="2A009B5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省级人民政府退役军人工作主管部门应当会同有关部门每4年对本地区烈士纪念设施进行一次排查，建立排查档案。对保护不力、管理不善、作用发挥不充分的烈士纪念设施保护单位或管理单位进行通报批评，限期整改；情节严重的，依法依规追究责任。</w:t>
            </w:r>
          </w:p>
          <w:p w14:paraId="6A68224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p>
        </w:tc>
        <w:tc>
          <w:tcPr>
            <w:tcW w:w="1926" w:type="dxa"/>
            <w:vAlign w:val="center"/>
          </w:tcPr>
          <w:p w14:paraId="7060052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1.监督检查烈士纪念设施保护单位或管理单位对《烈士纪念设施保护管理办法》的落实情况；</w:t>
            </w:r>
          </w:p>
          <w:p w14:paraId="3848FBB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2.监督检查烈士纪念设施保护单位或管理单位对烈士纪念设施的保护、管理和作用发挥情况。</w:t>
            </w:r>
          </w:p>
        </w:tc>
        <w:tc>
          <w:tcPr>
            <w:tcW w:w="2683" w:type="dxa"/>
            <w:vAlign w:val="center"/>
          </w:tcPr>
          <w:p w14:paraId="1B72B29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县级退役军人工作主管部门应加强对本辖内烈士纪念设施保护单位或管理单位对烈士纪念设施保护管理工作的监督考核。</w:t>
            </w:r>
          </w:p>
          <w:p w14:paraId="645F577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r>
              <w:rPr>
                <w:rFonts w:hint="default" w:ascii="Times New Roman" w:hAnsi="Times New Roman" w:eastAsia="国标仿宋-GB/T 2312" w:cs="Times New Roman"/>
                <w:b w:val="0"/>
                <w:bCs w:val="0"/>
                <w:color w:val="auto"/>
                <w:spacing w:val="0"/>
                <w:kern w:val="2"/>
                <w:sz w:val="20"/>
                <w:szCs w:val="20"/>
                <w:u w:val="none"/>
                <w:lang w:val="en-US" w:eastAsia="zh-CN" w:bidi="ar-SA"/>
              </w:rPr>
              <w:t>省级退役军人工作主管部门应当会同有关部门每4年对本地区烈士纪念设施进行一次</w:t>
            </w:r>
            <w:bookmarkStart w:id="0" w:name="_GoBack"/>
            <w:bookmarkEnd w:id="0"/>
            <w:r>
              <w:rPr>
                <w:rFonts w:hint="default" w:ascii="Times New Roman" w:hAnsi="Times New Roman" w:eastAsia="国标仿宋-GB/T 2312" w:cs="Times New Roman"/>
                <w:b w:val="0"/>
                <w:bCs w:val="0"/>
                <w:color w:val="auto"/>
                <w:spacing w:val="0"/>
                <w:kern w:val="2"/>
                <w:sz w:val="20"/>
                <w:szCs w:val="20"/>
                <w:u w:val="none"/>
                <w:lang w:val="en-US" w:eastAsia="zh-CN" w:bidi="ar-SA"/>
              </w:rPr>
              <w:t>全面排查。</w:t>
            </w:r>
          </w:p>
        </w:tc>
        <w:tc>
          <w:tcPr>
            <w:tcW w:w="1170" w:type="dxa"/>
          </w:tcPr>
          <w:p w14:paraId="739D79F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right="0" w:rightChars="0"/>
              <w:jc w:val="both"/>
              <w:textAlignment w:val="auto"/>
              <w:outlineLvl w:val="9"/>
              <w:rPr>
                <w:rFonts w:hint="default" w:ascii="Times New Roman" w:hAnsi="Times New Roman" w:eastAsia="国标仿宋-GB/T 2312" w:cs="Times New Roman"/>
                <w:b w:val="0"/>
                <w:bCs w:val="0"/>
                <w:color w:val="auto"/>
                <w:spacing w:val="0"/>
                <w:kern w:val="2"/>
                <w:sz w:val="20"/>
                <w:szCs w:val="20"/>
                <w:u w:val="none"/>
                <w:lang w:val="en-US" w:eastAsia="zh-CN" w:bidi="ar-SA"/>
              </w:rPr>
            </w:pPr>
          </w:p>
        </w:tc>
      </w:tr>
    </w:tbl>
    <w:p w14:paraId="555A2887">
      <w:pPr>
        <w:spacing w:line="540" w:lineRule="exact"/>
        <w:rPr>
          <w:rFonts w:hint="default" w:ascii="Times New Roman" w:hAnsi="Times New Roman" w:eastAsia="方正仿宋_GBK" w:cs="Times New Roman"/>
          <w:color w:val="auto"/>
          <w:sz w:val="32"/>
          <w:szCs w:val="32"/>
          <w:lang w:val="en-US" w:eastAsia="zh-CN"/>
        </w:rPr>
      </w:pPr>
    </w:p>
    <w:sectPr>
      <w:footerReference r:id="rId4" w:type="default"/>
      <w:pgSz w:w="16838" w:h="11906" w:orient="landscape"/>
      <w:pgMar w:top="1587" w:right="2098" w:bottom="1474" w:left="198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altName w:val="方正楷体_GBK"/>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国标仿宋-GB/T 2312">
    <w:altName w:val="方正仿宋_GBK"/>
    <w:panose1 w:val="02000500000000000000"/>
    <w:charset w:val="86"/>
    <w:family w:val="auto"/>
    <w:pitch w:val="default"/>
    <w:sig w:usb0="00000000" w:usb1="00000000" w:usb2="00000010" w:usb3="00000000" w:csb0="00040000" w:csb1="00000000"/>
  </w:font>
  <w:font w:name="国标黑体-GB/T 2312">
    <w:altName w:val="方正黑体_GBK"/>
    <w:panose1 w:val="02000500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国标小标宋-GB/T 2312">
    <w:altName w:val="方正小标宋_GBK"/>
    <w:panose1 w:val="020005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国标楷体-GB/T 2312">
    <w:altName w:val="楷体"/>
    <w:panose1 w:val="020005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KSOF668B6AE6">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39C6A">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91F747">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691F747">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14:paraId="1208563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56233">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AAF5EA">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UgBuQBAADPAwAADgAAAGRycy9lMm9Eb2MueG1srVNNrtMwEN4jcQfL&#10;e5q0Eq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hvaBM6csHThl+/fLj9+XX5+Zcty&#10;9Twp1IdYUeFdoFIcXvkhVU/xSMFEfGjBpj9RYpQnfc9XfdWATKZD69V6XVJKUm52CKe4Px4g4hvl&#10;LUtGzYEuMOsqTu8ijqVzSerm/K02huKiMu6vAGGOEZW3YDqdmIwTJwuH/TDR2PvmTOzoXVDXzsMX&#10;znraipo7egScmbeORE8LNBswG/vZEE7SwZojZ6P5GsdFOwbQhy6vXhoxhpdHpLkznTTG2JtkSA7d&#10;cxZk2sm0SH/6uer+HW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A3pSAG5AEAAM8DAAAO&#10;AAAAAAAAAAEAIAAAAB4BAABkcnMvZTJvRG9jLnhtbFBLBQYAAAAABgAGAFkBAAB0BQAAAAA=&#10;">
              <v:fill on="f" focussize="0,0"/>
              <v:stroke on="f"/>
              <v:imagedata o:title=""/>
              <o:lock v:ext="edit" aspectratio="f"/>
              <v:textbox inset="0mm,0mm,0mm,0mm" style="mso-fit-shape-to-text:t;">
                <w:txbxContent>
                  <w:p w14:paraId="67AAF5EA">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29446"/>
    <w:multiLevelType w:val="singleLevel"/>
    <w:tmpl w:val="6B0294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FECE2"/>
    <w:rsid w:val="00056D02"/>
    <w:rsid w:val="000A6026"/>
    <w:rsid w:val="00107530"/>
    <w:rsid w:val="002F68B0"/>
    <w:rsid w:val="00313AF0"/>
    <w:rsid w:val="00404330"/>
    <w:rsid w:val="0059582E"/>
    <w:rsid w:val="00601D8B"/>
    <w:rsid w:val="00687061"/>
    <w:rsid w:val="009064A4"/>
    <w:rsid w:val="0097792B"/>
    <w:rsid w:val="00B40036"/>
    <w:rsid w:val="00B7566D"/>
    <w:rsid w:val="00CC1FB8"/>
    <w:rsid w:val="00E91702"/>
    <w:rsid w:val="00F54BF1"/>
    <w:rsid w:val="01027C35"/>
    <w:rsid w:val="014435D4"/>
    <w:rsid w:val="061F3AB0"/>
    <w:rsid w:val="085417B6"/>
    <w:rsid w:val="089D2EAF"/>
    <w:rsid w:val="0ACB34C4"/>
    <w:rsid w:val="0BD3D899"/>
    <w:rsid w:val="0FE7F630"/>
    <w:rsid w:val="11837A7C"/>
    <w:rsid w:val="119F74B6"/>
    <w:rsid w:val="11AD6919"/>
    <w:rsid w:val="133E6515"/>
    <w:rsid w:val="13A075EE"/>
    <w:rsid w:val="13E10469"/>
    <w:rsid w:val="140266D8"/>
    <w:rsid w:val="165211BA"/>
    <w:rsid w:val="1654069A"/>
    <w:rsid w:val="17BF021B"/>
    <w:rsid w:val="184A42DA"/>
    <w:rsid w:val="189D0082"/>
    <w:rsid w:val="1BB569F3"/>
    <w:rsid w:val="1BBA200E"/>
    <w:rsid w:val="1BD2877C"/>
    <w:rsid w:val="1BFEEA00"/>
    <w:rsid w:val="1CAFDCF0"/>
    <w:rsid w:val="1DB7F607"/>
    <w:rsid w:val="1DFFE140"/>
    <w:rsid w:val="1E0917D0"/>
    <w:rsid w:val="1EB7E506"/>
    <w:rsid w:val="1EFF0A75"/>
    <w:rsid w:val="1FDB2A52"/>
    <w:rsid w:val="207D68CF"/>
    <w:rsid w:val="20ED5D93"/>
    <w:rsid w:val="25D64022"/>
    <w:rsid w:val="27DBA79B"/>
    <w:rsid w:val="2B4B7916"/>
    <w:rsid w:val="2B9729CB"/>
    <w:rsid w:val="2B9FABC4"/>
    <w:rsid w:val="2BFFD9E2"/>
    <w:rsid w:val="2C7E6A0F"/>
    <w:rsid w:val="2CCB6C14"/>
    <w:rsid w:val="2CDE44AA"/>
    <w:rsid w:val="2D6E2CD7"/>
    <w:rsid w:val="2D7B4DCF"/>
    <w:rsid w:val="2DFEC72F"/>
    <w:rsid w:val="2DFF200E"/>
    <w:rsid w:val="2EAB56A1"/>
    <w:rsid w:val="2EC9779A"/>
    <w:rsid w:val="2FB8F814"/>
    <w:rsid w:val="2FF716BE"/>
    <w:rsid w:val="2FFA175A"/>
    <w:rsid w:val="2FFF8BC2"/>
    <w:rsid w:val="2FFFD976"/>
    <w:rsid w:val="302A5F43"/>
    <w:rsid w:val="31EDB30B"/>
    <w:rsid w:val="33B730F3"/>
    <w:rsid w:val="34BB46B1"/>
    <w:rsid w:val="35033E04"/>
    <w:rsid w:val="358B3002"/>
    <w:rsid w:val="358E5B04"/>
    <w:rsid w:val="35C66D41"/>
    <w:rsid w:val="36291668"/>
    <w:rsid w:val="367FD5D3"/>
    <w:rsid w:val="36BFB7AE"/>
    <w:rsid w:val="36D7E83C"/>
    <w:rsid w:val="37BBFE80"/>
    <w:rsid w:val="37EE84AA"/>
    <w:rsid w:val="37F79CCA"/>
    <w:rsid w:val="37FADDD1"/>
    <w:rsid w:val="37FBB3E1"/>
    <w:rsid w:val="37FBC5AE"/>
    <w:rsid w:val="37FF2CB5"/>
    <w:rsid w:val="37FFBA3A"/>
    <w:rsid w:val="3BAC30ED"/>
    <w:rsid w:val="3BD792FE"/>
    <w:rsid w:val="3BF71D27"/>
    <w:rsid w:val="3C8342D6"/>
    <w:rsid w:val="3D924686"/>
    <w:rsid w:val="3DF7BF90"/>
    <w:rsid w:val="3E3D0ED2"/>
    <w:rsid w:val="3F3D21E7"/>
    <w:rsid w:val="3F75AA61"/>
    <w:rsid w:val="3F7F7070"/>
    <w:rsid w:val="3FBA2C34"/>
    <w:rsid w:val="3FBB2C75"/>
    <w:rsid w:val="3FBDCB87"/>
    <w:rsid w:val="3FD99FDD"/>
    <w:rsid w:val="3FDEC43B"/>
    <w:rsid w:val="3FFB4506"/>
    <w:rsid w:val="3FFC9373"/>
    <w:rsid w:val="3FFD708F"/>
    <w:rsid w:val="44926477"/>
    <w:rsid w:val="465C6B5C"/>
    <w:rsid w:val="47BD373C"/>
    <w:rsid w:val="48743864"/>
    <w:rsid w:val="4A0C728B"/>
    <w:rsid w:val="4AFA7E0D"/>
    <w:rsid w:val="4BAF5B55"/>
    <w:rsid w:val="4BE67E16"/>
    <w:rsid w:val="4CAA68F2"/>
    <w:rsid w:val="4DED7995"/>
    <w:rsid w:val="4DFD19B1"/>
    <w:rsid w:val="4E2A14DC"/>
    <w:rsid w:val="4F947E71"/>
    <w:rsid w:val="4FFF47C4"/>
    <w:rsid w:val="4FFFE3B9"/>
    <w:rsid w:val="50CF50A4"/>
    <w:rsid w:val="53AC1956"/>
    <w:rsid w:val="569B191E"/>
    <w:rsid w:val="573245FF"/>
    <w:rsid w:val="57379BB3"/>
    <w:rsid w:val="573A96C9"/>
    <w:rsid w:val="575E67D3"/>
    <w:rsid w:val="57931D34"/>
    <w:rsid w:val="5793FC7F"/>
    <w:rsid w:val="57947FE9"/>
    <w:rsid w:val="57EF2146"/>
    <w:rsid w:val="58FD396C"/>
    <w:rsid w:val="59024494"/>
    <w:rsid w:val="593D45CA"/>
    <w:rsid w:val="595E5702"/>
    <w:rsid w:val="5B3B333C"/>
    <w:rsid w:val="5B426888"/>
    <w:rsid w:val="5BD5BA8D"/>
    <w:rsid w:val="5BFB1996"/>
    <w:rsid w:val="5BFB7623"/>
    <w:rsid w:val="5BFFC49A"/>
    <w:rsid w:val="5D514C25"/>
    <w:rsid w:val="5DDB8F88"/>
    <w:rsid w:val="5DFC714C"/>
    <w:rsid w:val="5DFF6718"/>
    <w:rsid w:val="5E4069DA"/>
    <w:rsid w:val="5E5F99BE"/>
    <w:rsid w:val="5F7F0A75"/>
    <w:rsid w:val="5F7F36DB"/>
    <w:rsid w:val="5FDF7C7E"/>
    <w:rsid w:val="5FF60ED7"/>
    <w:rsid w:val="5FFE8242"/>
    <w:rsid w:val="60023D22"/>
    <w:rsid w:val="62D62C32"/>
    <w:rsid w:val="63A9438F"/>
    <w:rsid w:val="64CE60FD"/>
    <w:rsid w:val="65FC4F5D"/>
    <w:rsid w:val="661811CF"/>
    <w:rsid w:val="66FE04E5"/>
    <w:rsid w:val="67104B0D"/>
    <w:rsid w:val="67258925"/>
    <w:rsid w:val="678C0763"/>
    <w:rsid w:val="67D7ED60"/>
    <w:rsid w:val="695D51EA"/>
    <w:rsid w:val="69BB0BDA"/>
    <w:rsid w:val="69F124A9"/>
    <w:rsid w:val="6B7F64BB"/>
    <w:rsid w:val="6BB85D88"/>
    <w:rsid w:val="6BD9385B"/>
    <w:rsid w:val="6BF7B396"/>
    <w:rsid w:val="6BF9573E"/>
    <w:rsid w:val="6C600CDA"/>
    <w:rsid w:val="6D9F4886"/>
    <w:rsid w:val="6DF14874"/>
    <w:rsid w:val="6DF7BB67"/>
    <w:rsid w:val="6E73903C"/>
    <w:rsid w:val="6EB63EDC"/>
    <w:rsid w:val="6EBBA594"/>
    <w:rsid w:val="6EC304C9"/>
    <w:rsid w:val="6EFF2977"/>
    <w:rsid w:val="6F617E8D"/>
    <w:rsid w:val="6F7B34F6"/>
    <w:rsid w:val="6FC83361"/>
    <w:rsid w:val="6FD7B929"/>
    <w:rsid w:val="6FE4BD16"/>
    <w:rsid w:val="6FED719F"/>
    <w:rsid w:val="6FF3AD43"/>
    <w:rsid w:val="70C9ED6C"/>
    <w:rsid w:val="70D77F30"/>
    <w:rsid w:val="72E0B167"/>
    <w:rsid w:val="73372599"/>
    <w:rsid w:val="73DF4E98"/>
    <w:rsid w:val="73ED00C6"/>
    <w:rsid w:val="73EFEDF4"/>
    <w:rsid w:val="73FE676A"/>
    <w:rsid w:val="756A4739"/>
    <w:rsid w:val="757F1F0D"/>
    <w:rsid w:val="75BE754F"/>
    <w:rsid w:val="75BEA945"/>
    <w:rsid w:val="75DF0462"/>
    <w:rsid w:val="75FFD0A6"/>
    <w:rsid w:val="760A5684"/>
    <w:rsid w:val="76264C32"/>
    <w:rsid w:val="7657A7A6"/>
    <w:rsid w:val="76BD37B5"/>
    <w:rsid w:val="772CFB5B"/>
    <w:rsid w:val="775BEF35"/>
    <w:rsid w:val="776F8C13"/>
    <w:rsid w:val="778614D2"/>
    <w:rsid w:val="779C8194"/>
    <w:rsid w:val="77FDCC21"/>
    <w:rsid w:val="77FE78BA"/>
    <w:rsid w:val="77FFA06A"/>
    <w:rsid w:val="77FFAFFF"/>
    <w:rsid w:val="78DCB853"/>
    <w:rsid w:val="78DF783B"/>
    <w:rsid w:val="78FBF632"/>
    <w:rsid w:val="793728F8"/>
    <w:rsid w:val="79565B55"/>
    <w:rsid w:val="798D2B6E"/>
    <w:rsid w:val="79FEC82A"/>
    <w:rsid w:val="79FF69AE"/>
    <w:rsid w:val="7ADB26D5"/>
    <w:rsid w:val="7B3E6B40"/>
    <w:rsid w:val="7B92EACF"/>
    <w:rsid w:val="7BCB7285"/>
    <w:rsid w:val="7BFCD222"/>
    <w:rsid w:val="7BFF5870"/>
    <w:rsid w:val="7C324FED"/>
    <w:rsid w:val="7CB7D1E7"/>
    <w:rsid w:val="7CE6A05B"/>
    <w:rsid w:val="7CF9751E"/>
    <w:rsid w:val="7D311DDE"/>
    <w:rsid w:val="7D3A3C90"/>
    <w:rsid w:val="7D7C0BE7"/>
    <w:rsid w:val="7D963D15"/>
    <w:rsid w:val="7DCDF54A"/>
    <w:rsid w:val="7DDB5F97"/>
    <w:rsid w:val="7DEDD105"/>
    <w:rsid w:val="7DEED3C1"/>
    <w:rsid w:val="7DEFE3EC"/>
    <w:rsid w:val="7DFA6D86"/>
    <w:rsid w:val="7DFFDEFC"/>
    <w:rsid w:val="7EBF08BD"/>
    <w:rsid w:val="7EDA0723"/>
    <w:rsid w:val="7EDBC781"/>
    <w:rsid w:val="7EDDA2DF"/>
    <w:rsid w:val="7EEB655B"/>
    <w:rsid w:val="7EFF4F8E"/>
    <w:rsid w:val="7EFFF48C"/>
    <w:rsid w:val="7EFFFFC0"/>
    <w:rsid w:val="7F57B408"/>
    <w:rsid w:val="7F5DD474"/>
    <w:rsid w:val="7F6F635E"/>
    <w:rsid w:val="7F7DC61D"/>
    <w:rsid w:val="7F7F553C"/>
    <w:rsid w:val="7F7F5770"/>
    <w:rsid w:val="7FB75567"/>
    <w:rsid w:val="7FBF18E1"/>
    <w:rsid w:val="7FBFF282"/>
    <w:rsid w:val="7FCD437D"/>
    <w:rsid w:val="7FEF241C"/>
    <w:rsid w:val="7FF22086"/>
    <w:rsid w:val="7FF7CD5B"/>
    <w:rsid w:val="7FFD8636"/>
    <w:rsid w:val="7FFF6205"/>
    <w:rsid w:val="7FFF7608"/>
    <w:rsid w:val="8BDFA5E1"/>
    <w:rsid w:val="8CFBAEA5"/>
    <w:rsid w:val="8F9F91E0"/>
    <w:rsid w:val="8FBEBBF5"/>
    <w:rsid w:val="964F89BE"/>
    <w:rsid w:val="9BBD9E8B"/>
    <w:rsid w:val="9BF608F1"/>
    <w:rsid w:val="9C5E34C1"/>
    <w:rsid w:val="9D6E7E9E"/>
    <w:rsid w:val="9DDBF934"/>
    <w:rsid w:val="9DFFEFBF"/>
    <w:rsid w:val="9F3BFC40"/>
    <w:rsid w:val="9FCF8B53"/>
    <w:rsid w:val="AAF6FEB4"/>
    <w:rsid w:val="ADD76F33"/>
    <w:rsid w:val="AFFA5A3C"/>
    <w:rsid w:val="B6AE968B"/>
    <w:rsid w:val="B7920F8E"/>
    <w:rsid w:val="B7C79C4A"/>
    <w:rsid w:val="B7EF4159"/>
    <w:rsid w:val="BA7F428B"/>
    <w:rsid w:val="BAF7B519"/>
    <w:rsid w:val="BB3E812F"/>
    <w:rsid w:val="BBAB8368"/>
    <w:rsid w:val="BBDF0D68"/>
    <w:rsid w:val="BBDF9A71"/>
    <w:rsid w:val="BBF6E971"/>
    <w:rsid w:val="BBFD67DF"/>
    <w:rsid w:val="BCFFDBAC"/>
    <w:rsid w:val="BDF512F2"/>
    <w:rsid w:val="BDFF6F59"/>
    <w:rsid w:val="BE7F127A"/>
    <w:rsid w:val="BED9A42F"/>
    <w:rsid w:val="BEE51058"/>
    <w:rsid w:val="BEF91488"/>
    <w:rsid w:val="BEFA1F59"/>
    <w:rsid w:val="BF1B54D0"/>
    <w:rsid w:val="BF67C4E1"/>
    <w:rsid w:val="BF7971F1"/>
    <w:rsid w:val="BF7FA24C"/>
    <w:rsid w:val="BFBD338B"/>
    <w:rsid w:val="BFD49E12"/>
    <w:rsid w:val="BFDD19AC"/>
    <w:rsid w:val="BFDF1E52"/>
    <w:rsid w:val="BFF19F08"/>
    <w:rsid w:val="BFF9DA5F"/>
    <w:rsid w:val="BFFD3442"/>
    <w:rsid w:val="BFFF736C"/>
    <w:rsid w:val="BFFF8C73"/>
    <w:rsid w:val="C78D2524"/>
    <w:rsid w:val="C7DDC96B"/>
    <w:rsid w:val="C7E98B0D"/>
    <w:rsid w:val="CB3F5898"/>
    <w:rsid w:val="CC7F201E"/>
    <w:rsid w:val="CD77244B"/>
    <w:rsid w:val="CDF76F77"/>
    <w:rsid w:val="CEDF233F"/>
    <w:rsid w:val="CEF7D158"/>
    <w:rsid w:val="CEFD57C0"/>
    <w:rsid w:val="CEFD5D01"/>
    <w:rsid w:val="CFCCDC10"/>
    <w:rsid w:val="D2B3BDF6"/>
    <w:rsid w:val="D396B146"/>
    <w:rsid w:val="D3E7E77A"/>
    <w:rsid w:val="D3FF9BE7"/>
    <w:rsid w:val="D53FD9BC"/>
    <w:rsid w:val="D6CA0EF2"/>
    <w:rsid w:val="D6FE2942"/>
    <w:rsid w:val="D75F5C7E"/>
    <w:rsid w:val="D77D0CA3"/>
    <w:rsid w:val="D796ECF5"/>
    <w:rsid w:val="D7FF4153"/>
    <w:rsid w:val="D8BF97E4"/>
    <w:rsid w:val="D9D3FF83"/>
    <w:rsid w:val="DBAF1312"/>
    <w:rsid w:val="DBAFF06B"/>
    <w:rsid w:val="DBD79353"/>
    <w:rsid w:val="DBD7AC06"/>
    <w:rsid w:val="DBF97E82"/>
    <w:rsid w:val="DBF9CBBB"/>
    <w:rsid w:val="DBFD9821"/>
    <w:rsid w:val="DCFD8E6E"/>
    <w:rsid w:val="DDE7191C"/>
    <w:rsid w:val="DE7F3CA7"/>
    <w:rsid w:val="DEBE9560"/>
    <w:rsid w:val="DEDE4AF0"/>
    <w:rsid w:val="DEEF41AD"/>
    <w:rsid w:val="DEF1335F"/>
    <w:rsid w:val="DEF76AD2"/>
    <w:rsid w:val="DEFF244D"/>
    <w:rsid w:val="DEFFF247"/>
    <w:rsid w:val="DF602328"/>
    <w:rsid w:val="DF7692B8"/>
    <w:rsid w:val="DF7F1CD0"/>
    <w:rsid w:val="DFBB369E"/>
    <w:rsid w:val="DFBDC62D"/>
    <w:rsid w:val="DFD57713"/>
    <w:rsid w:val="DFDF0B4E"/>
    <w:rsid w:val="DFEE2074"/>
    <w:rsid w:val="DFFDB2D6"/>
    <w:rsid w:val="E3A68BD5"/>
    <w:rsid w:val="E50E2640"/>
    <w:rsid w:val="E6F5892E"/>
    <w:rsid w:val="E77D629D"/>
    <w:rsid w:val="E7CB3857"/>
    <w:rsid w:val="E7FD3781"/>
    <w:rsid w:val="E7FF18BA"/>
    <w:rsid w:val="EAEF8C6F"/>
    <w:rsid w:val="EBE6A2CC"/>
    <w:rsid w:val="EBFF356B"/>
    <w:rsid w:val="ED978E91"/>
    <w:rsid w:val="EDF6C927"/>
    <w:rsid w:val="EE5AF5AB"/>
    <w:rsid w:val="EEFD87BB"/>
    <w:rsid w:val="EEFF93ED"/>
    <w:rsid w:val="EF6F2E89"/>
    <w:rsid w:val="EFB1C931"/>
    <w:rsid w:val="EFD76F47"/>
    <w:rsid w:val="EFE7FF8D"/>
    <w:rsid w:val="EFFF8A17"/>
    <w:rsid w:val="F2B76AE8"/>
    <w:rsid w:val="F2B9696A"/>
    <w:rsid w:val="F2CE34C8"/>
    <w:rsid w:val="F2FE4702"/>
    <w:rsid w:val="F3C38044"/>
    <w:rsid w:val="F3DFB294"/>
    <w:rsid w:val="F3F6CA06"/>
    <w:rsid w:val="F3FF2C19"/>
    <w:rsid w:val="F4DF6676"/>
    <w:rsid w:val="F4F956CC"/>
    <w:rsid w:val="F4F9C77A"/>
    <w:rsid w:val="F5E93B83"/>
    <w:rsid w:val="F5F7B50B"/>
    <w:rsid w:val="F5FB98AD"/>
    <w:rsid w:val="F5FBE52C"/>
    <w:rsid w:val="F67C89CE"/>
    <w:rsid w:val="F69D233A"/>
    <w:rsid w:val="F6BF77A5"/>
    <w:rsid w:val="F6FF7790"/>
    <w:rsid w:val="F75BFE8E"/>
    <w:rsid w:val="F7758213"/>
    <w:rsid w:val="F7799739"/>
    <w:rsid w:val="F77FD514"/>
    <w:rsid w:val="F79FD9C1"/>
    <w:rsid w:val="F7BFECE2"/>
    <w:rsid w:val="F7FA51D6"/>
    <w:rsid w:val="F7FB6B15"/>
    <w:rsid w:val="F7FC631D"/>
    <w:rsid w:val="F7FD02BF"/>
    <w:rsid w:val="F7FD793B"/>
    <w:rsid w:val="F7FF1385"/>
    <w:rsid w:val="F8F79DBF"/>
    <w:rsid w:val="F96D8497"/>
    <w:rsid w:val="F9F77685"/>
    <w:rsid w:val="F9FEC4A1"/>
    <w:rsid w:val="FA594AD5"/>
    <w:rsid w:val="FAFB5CEA"/>
    <w:rsid w:val="FBB62A17"/>
    <w:rsid w:val="FBBF791C"/>
    <w:rsid w:val="FBD5B2E1"/>
    <w:rsid w:val="FBDCE077"/>
    <w:rsid w:val="FBE75DFF"/>
    <w:rsid w:val="FBF2B5F2"/>
    <w:rsid w:val="FBFA3039"/>
    <w:rsid w:val="FBFB25F2"/>
    <w:rsid w:val="FBFD0219"/>
    <w:rsid w:val="FBFF6BAC"/>
    <w:rsid w:val="FCB7D8FC"/>
    <w:rsid w:val="FCBD0FAA"/>
    <w:rsid w:val="FD0EC762"/>
    <w:rsid w:val="FD2FCC6A"/>
    <w:rsid w:val="FD3D12CD"/>
    <w:rsid w:val="FD67FE2A"/>
    <w:rsid w:val="FD6FE5C3"/>
    <w:rsid w:val="FD772B8E"/>
    <w:rsid w:val="FD7BB170"/>
    <w:rsid w:val="FDAE092C"/>
    <w:rsid w:val="FDAF0A51"/>
    <w:rsid w:val="FDB32214"/>
    <w:rsid w:val="FDBCCB66"/>
    <w:rsid w:val="FDDFEEE1"/>
    <w:rsid w:val="FDE5B66F"/>
    <w:rsid w:val="FDFAF2DF"/>
    <w:rsid w:val="FDFDA33B"/>
    <w:rsid w:val="FDFE01F5"/>
    <w:rsid w:val="FDFE2E0C"/>
    <w:rsid w:val="FDFEDB52"/>
    <w:rsid w:val="FDFF1101"/>
    <w:rsid w:val="FDFF825C"/>
    <w:rsid w:val="FE2F566C"/>
    <w:rsid w:val="FE7FD52D"/>
    <w:rsid w:val="FE891911"/>
    <w:rsid w:val="FEADC0FD"/>
    <w:rsid w:val="FEBEABE6"/>
    <w:rsid w:val="FECEC238"/>
    <w:rsid w:val="FECF8D83"/>
    <w:rsid w:val="FEF04D2C"/>
    <w:rsid w:val="FEF762D3"/>
    <w:rsid w:val="FEFD9F3B"/>
    <w:rsid w:val="FEFDBFA6"/>
    <w:rsid w:val="FF15CA85"/>
    <w:rsid w:val="FF3EFD70"/>
    <w:rsid w:val="FF672600"/>
    <w:rsid w:val="FF763EE7"/>
    <w:rsid w:val="FFBE99D2"/>
    <w:rsid w:val="FFBFC788"/>
    <w:rsid w:val="FFC3FCE5"/>
    <w:rsid w:val="FFCE8662"/>
    <w:rsid w:val="FFCF53F6"/>
    <w:rsid w:val="FFD6769D"/>
    <w:rsid w:val="FFDE21EC"/>
    <w:rsid w:val="FFDE33D8"/>
    <w:rsid w:val="FFDF0F90"/>
    <w:rsid w:val="FFDF22CD"/>
    <w:rsid w:val="FFE59347"/>
    <w:rsid w:val="FFED8FD6"/>
    <w:rsid w:val="FFF5E2BC"/>
    <w:rsid w:val="FFF6AAFE"/>
    <w:rsid w:val="FFF7D2DC"/>
    <w:rsid w:val="FFFE55A0"/>
    <w:rsid w:val="FFFEAD48"/>
    <w:rsid w:val="FFFEED06"/>
    <w:rsid w:val="FFFF89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next w:val="1"/>
    <w:unhideWhenUsed/>
    <w:qFormat/>
    <w:uiPriority w:val="99"/>
    <w:pPr>
      <w:spacing w:after="120"/>
    </w:pPr>
  </w:style>
  <w:style w:type="paragraph" w:styleId="5">
    <w:name w:val="Body Text Indent"/>
    <w:basedOn w:val="1"/>
    <w:next w:val="4"/>
    <w:unhideWhenUsed/>
    <w:qFormat/>
    <w:uiPriority w:val="99"/>
    <w:pPr>
      <w:spacing w:after="120"/>
      <w:ind w:left="420" w:leftChars="200"/>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2"/>
    <w:basedOn w:val="1"/>
    <w:unhideWhenUsed/>
    <w:qFormat/>
    <w:uiPriority w:val="99"/>
    <w:pPr>
      <w:spacing w:after="120" w:line="480" w:lineRule="auto"/>
    </w:pPr>
  </w:style>
  <w:style w:type="paragraph" w:styleId="10">
    <w:name w:val="Normal (Web)"/>
    <w:basedOn w:val="1"/>
    <w:qFormat/>
    <w:uiPriority w:val="0"/>
    <w:rPr>
      <w:sz w:val="24"/>
    </w:rPr>
  </w:style>
  <w:style w:type="paragraph" w:styleId="11">
    <w:name w:val="Body Text First Indent 2"/>
    <w:basedOn w:val="5"/>
    <w:next w:val="6"/>
    <w:unhideWhenUsed/>
    <w:qFormat/>
    <w:uiPriority w:val="99"/>
    <w:pPr>
      <w:spacing w:line="360" w:lineRule="auto"/>
      <w:ind w:firstLine="420" w:firstLineChars="200"/>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无间隔1"/>
    <w:qFormat/>
    <w:uiPriority w:val="1"/>
    <w:pPr>
      <w:adjustRightInd w:val="0"/>
      <w:snapToGrid w:val="0"/>
      <w:ind w:firstLine="200" w:firstLineChars="200"/>
      <w:jc w:val="both"/>
    </w:pPr>
    <w:rPr>
      <w:rFonts w:ascii="Tahoma" w:hAnsi="Tahoma" w:eastAsia="仿宋_GB2312" w:cs="Times New Roman"/>
      <w:color w:val="000000"/>
      <w:sz w:val="32"/>
      <w:szCs w:val="22"/>
      <w:lang w:val="en-US" w:eastAsia="zh-CN" w:bidi="ar-SA"/>
    </w:rPr>
  </w:style>
  <w:style w:type="paragraph" w:styleId="18">
    <w:name w:val="List Paragraph"/>
    <w:basedOn w:val="1"/>
    <w:qFormat/>
    <w:uiPriority w:val="34"/>
    <w:pPr>
      <w:ind w:firstLine="420"/>
    </w:pPr>
  </w:style>
  <w:style w:type="paragraph" w:customStyle="1" w:styleId="19">
    <w:name w:val="正文缩进1"/>
    <w:basedOn w:val="1"/>
    <w:next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23725</Words>
  <Characters>24120</Characters>
  <Lines>6</Lines>
  <Paragraphs>1</Paragraphs>
  <TotalTime>7</TotalTime>
  <ScaleCrop>false</ScaleCrop>
  <LinksUpToDate>false</LinksUpToDate>
  <CharactersWithSpaces>24364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2024-10-21T05:50:00Z</dcterms:created>
  <dc:creator>tyjrswt</dc:creator>
  <cp:lastModifiedBy>　　　　　　Mr.M</cp:lastModifiedBy>
  <cp:lastPrinted>2025-09-12T15:51:00Z</cp:lastPrinted>
  <dcterms:modified xsi:type="dcterms:W3CDTF">2025-12-25T04:12:37Z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B3F90ACD2AE34CD8B36C39D5B3687AB4_12</vt:lpwstr>
  </property>
  <property fmtid="{D5CDD505-2E9C-101B-9397-08002B2CF9AE}" pid="4" name="KSOTemplateDocerSaveRecord">
    <vt:lpwstr>eyJoZGlkIjoiNWY3YTRiNjVkMmU0ZjcxYjcyYjBjNTFiYjk5MDRmNWIiLCJ1c2VySWQiOiI0MzQ4MTc4NDAifQ==</vt:lpwstr>
  </property>
</Properties>
</file>